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6" w:type="dxa"/>
        <w:tblInd w:w="108" w:type="dxa"/>
        <w:tblLook w:val="04A0" w:firstRow="1" w:lastRow="0" w:firstColumn="1" w:lastColumn="0" w:noHBand="0" w:noVBand="1"/>
      </w:tblPr>
      <w:tblGrid>
        <w:gridCol w:w="1011"/>
        <w:gridCol w:w="988"/>
        <w:gridCol w:w="1090"/>
        <w:gridCol w:w="986"/>
        <w:gridCol w:w="986"/>
        <w:gridCol w:w="986"/>
        <w:gridCol w:w="1195"/>
        <w:gridCol w:w="1031"/>
        <w:gridCol w:w="1195"/>
      </w:tblGrid>
      <w:tr w:rsidR="004436A7" w:rsidRPr="004436A7" w:rsidTr="004436A7">
        <w:trPr>
          <w:trHeight w:val="300"/>
        </w:trPr>
        <w:tc>
          <w:tcPr>
            <w:tcW w:w="9076" w:type="dxa"/>
            <w:gridSpan w:val="9"/>
            <w:tcBorders>
              <w:top w:val="nil"/>
              <w:left w:val="nil"/>
              <w:bottom w:val="nil"/>
              <w:right w:val="nil"/>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rPr>
            </w:pPr>
            <w:r w:rsidRPr="004436A7">
              <w:rPr>
                <w:rFonts w:ascii="Calibri" w:eastAsia="Times New Roman" w:hAnsi="Calibri" w:cs="Calibri"/>
                <w:color w:val="000000"/>
              </w:rPr>
              <w:t>Образложење</w:t>
            </w:r>
          </w:p>
        </w:tc>
      </w:tr>
      <w:tr w:rsidR="004436A7" w:rsidRPr="004436A7" w:rsidTr="004436A7">
        <w:trPr>
          <w:trHeight w:val="300"/>
        </w:trPr>
        <w:tc>
          <w:tcPr>
            <w:tcW w:w="94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47"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1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91"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1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tcBorders>
              <w:top w:val="nil"/>
              <w:left w:val="nil"/>
              <w:bottom w:val="nil"/>
              <w:right w:val="nil"/>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rPr>
            </w:pPr>
            <w:r w:rsidRPr="004436A7">
              <w:rPr>
                <w:rFonts w:ascii="Calibri" w:eastAsia="Times New Roman" w:hAnsi="Calibri" w:cs="Calibri"/>
                <w:color w:val="000000"/>
              </w:rPr>
              <w:t>I ПРАВНИ ОСНОВ ЗА ДОНОШЕЊЕ БУЏЕТА</w:t>
            </w:r>
          </w:p>
        </w:tc>
      </w:tr>
      <w:tr w:rsidR="004436A7" w:rsidRPr="004436A7" w:rsidTr="004436A7">
        <w:trPr>
          <w:trHeight w:val="300"/>
        </w:trPr>
        <w:tc>
          <w:tcPr>
            <w:tcW w:w="94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47"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1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91"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14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val="restart"/>
            <w:tcBorders>
              <w:top w:val="nil"/>
              <w:left w:val="nil"/>
              <w:bottom w:val="nil"/>
              <w:right w:val="nil"/>
            </w:tcBorders>
            <w:shd w:val="clear" w:color="auto" w:fill="auto"/>
            <w:vAlign w:val="bottom"/>
            <w:hideMark/>
          </w:tcPr>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Правни основ за доношење Одлуке о буџету Градске општине Палилула за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 xml:space="preserve"> садржан је у одредбама  Закона о буџетском систему („Службени гласник РС“, број 54/09, 73/10, 101/10, 101/11, 93/12, 62/13, 63/13, 108/13, 142/14 и 68/15 – др. Закон, 103/15, 99/16, 113/17, 95/</w:t>
            </w:r>
            <w:proofErr w:type="gramStart"/>
            <w:r w:rsidRPr="004436A7">
              <w:rPr>
                <w:rFonts w:ascii="Calibri" w:eastAsia="Times New Roman" w:hAnsi="Calibri" w:cs="Calibri"/>
                <w:color w:val="000000"/>
              </w:rPr>
              <w:t>2018 ,31</w:t>
            </w:r>
            <w:proofErr w:type="gramEnd"/>
            <w:r w:rsidRPr="004436A7">
              <w:rPr>
                <w:rFonts w:ascii="Calibri" w:eastAsia="Times New Roman" w:hAnsi="Calibri" w:cs="Calibri"/>
                <w:color w:val="000000"/>
              </w:rPr>
              <w:t xml:space="preserve">/2019, 72/2019, 149/2020 i 118/2021 ), у члану 43. </w:t>
            </w:r>
            <w:proofErr w:type="gramStart"/>
            <w:r w:rsidRPr="004436A7">
              <w:rPr>
                <w:rFonts w:ascii="Calibri" w:eastAsia="Times New Roman" w:hAnsi="Calibri" w:cs="Calibri"/>
                <w:color w:val="000000"/>
              </w:rPr>
              <w:t>став</w:t>
            </w:r>
            <w:proofErr w:type="gramEnd"/>
            <w:r w:rsidRPr="004436A7">
              <w:rPr>
                <w:rFonts w:ascii="Calibri" w:eastAsia="Times New Roman" w:hAnsi="Calibri" w:cs="Calibri"/>
                <w:color w:val="000000"/>
              </w:rPr>
              <w:t xml:space="preserve"> 1. </w:t>
            </w:r>
            <w:proofErr w:type="gramStart"/>
            <w:r w:rsidRPr="004436A7">
              <w:rPr>
                <w:rFonts w:ascii="Calibri" w:eastAsia="Times New Roman" w:hAnsi="Calibri" w:cs="Calibri"/>
                <w:color w:val="000000"/>
              </w:rPr>
              <w:t>где</w:t>
            </w:r>
            <w:proofErr w:type="gramEnd"/>
            <w:r w:rsidRPr="004436A7">
              <w:rPr>
                <w:rFonts w:ascii="Calibri" w:eastAsia="Times New Roman" w:hAnsi="Calibri" w:cs="Calibri"/>
                <w:color w:val="000000"/>
              </w:rPr>
              <w:t xml:space="preserve"> је прописано да одлуку о буџету локалне власти доноси скупштина локалне власти.</w:t>
            </w:r>
            <w:r w:rsidRPr="004436A7">
              <w:rPr>
                <w:rFonts w:ascii="Calibri" w:eastAsia="Times New Roman" w:hAnsi="Calibri" w:cs="Calibri"/>
                <w:color w:val="000000"/>
              </w:rPr>
              <w:br/>
              <w:t xml:space="preserve">Припрема и доношење буџета Градске општине Палилула за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 xml:space="preserve"> врши се у складу са Законом о финансирању локалне самоуправе, Упутством за припрему одлуке о буџету локалне власти за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 xml:space="preserve"> и пројекцијом за 2024. </w:t>
            </w:r>
            <w:proofErr w:type="gramStart"/>
            <w:r w:rsidRPr="004436A7">
              <w:rPr>
                <w:rFonts w:ascii="Calibri" w:eastAsia="Times New Roman" w:hAnsi="Calibri" w:cs="Calibri"/>
                <w:color w:val="000000"/>
              </w:rPr>
              <w:t>и</w:t>
            </w:r>
            <w:proofErr w:type="gramEnd"/>
            <w:r w:rsidRPr="004436A7">
              <w:rPr>
                <w:rFonts w:ascii="Calibri" w:eastAsia="Times New Roman" w:hAnsi="Calibri" w:cs="Calibri"/>
                <w:color w:val="000000"/>
              </w:rPr>
              <w:t xml:space="preserve"> 2025. годину (који је донео министар финансија у складу са одредбама члана 36а Закона о буџетском систему,  објављено на сајту Министарства финансија), Правилником о стандардном класификационом оквиру и контном плану за буџетски систем („Службени гласник РС“, број 16/16, 49/16, 107/16, 46/17, 114/17, 20/18, 36/18, 93/18, 104/18, 14/19, 33/19, 68/19, 84/2019,151/2020, 19/2021, 66/2021 и 130/2021) и Упутством за припрему буџета Градске општине Палилула, донетог од стране Одсека за финансије Градске општине Палилула.</w:t>
            </w:r>
          </w:p>
          <w:p w:rsidR="004436A7" w:rsidRPr="004436A7" w:rsidRDefault="004436A7" w:rsidP="004436A7">
            <w:pPr>
              <w:spacing w:after="0" w:line="240" w:lineRule="auto"/>
              <w:jc w:val="both"/>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tcBorders>
              <w:top w:val="nil"/>
              <w:left w:val="nil"/>
              <w:bottom w:val="nil"/>
              <w:right w:val="nil"/>
            </w:tcBorders>
            <w:shd w:val="clear" w:color="auto" w:fill="auto"/>
            <w:vAlign w:val="bottom"/>
            <w:hideMark/>
          </w:tcPr>
          <w:p w:rsidR="004436A7" w:rsidRPr="004436A7" w:rsidRDefault="004436A7" w:rsidP="004436A7">
            <w:pPr>
              <w:spacing w:after="0" w:line="240" w:lineRule="auto"/>
              <w:jc w:val="center"/>
              <w:rPr>
                <w:rFonts w:ascii="Calibri" w:eastAsia="Times New Roman" w:hAnsi="Calibri" w:cs="Calibri"/>
                <w:color w:val="000000"/>
              </w:rPr>
            </w:pPr>
            <w:r w:rsidRPr="004436A7">
              <w:rPr>
                <w:rFonts w:ascii="Calibri" w:eastAsia="Times New Roman" w:hAnsi="Calibri" w:cs="Calibri"/>
                <w:color w:val="000000"/>
              </w:rPr>
              <w:t>II   СТРУКТУРА  ПРИХОДА И ПРИМАЊА</w:t>
            </w:r>
          </w:p>
        </w:tc>
      </w:tr>
      <w:tr w:rsidR="004436A7" w:rsidRPr="004436A7" w:rsidTr="004436A7">
        <w:trPr>
          <w:trHeight w:val="300"/>
        </w:trPr>
        <w:tc>
          <w:tcPr>
            <w:tcW w:w="949"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9"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47"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48"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148"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991"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148" w:type="dxa"/>
            <w:tcBorders>
              <w:top w:val="nil"/>
              <w:left w:val="nil"/>
              <w:bottom w:val="nil"/>
              <w:right w:val="nil"/>
            </w:tcBorders>
            <w:shd w:val="clear" w:color="auto" w:fill="auto"/>
            <w:vAlign w:val="bottom"/>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val="restart"/>
            <w:tcBorders>
              <w:top w:val="nil"/>
              <w:left w:val="nil"/>
              <w:bottom w:val="nil"/>
              <w:right w:val="nil"/>
            </w:tcBorders>
            <w:shd w:val="clear" w:color="auto" w:fill="auto"/>
            <w:vAlign w:val="bottom"/>
            <w:hideMark/>
          </w:tcPr>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Буџетски приходи и примања градске општине Палилула за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 xml:space="preserve"> планирани су у складу са одредбама Закона о финансирању локалне самоуправе, а на основу остварених прихода и примања у периоду јануар – септембар 2022. </w:t>
            </w:r>
            <w:proofErr w:type="gramStart"/>
            <w:r w:rsidRPr="004436A7">
              <w:rPr>
                <w:rFonts w:ascii="Calibri" w:eastAsia="Times New Roman" w:hAnsi="Calibri" w:cs="Calibri"/>
                <w:color w:val="000000"/>
              </w:rPr>
              <w:t>године</w:t>
            </w:r>
            <w:proofErr w:type="gramEnd"/>
            <w:r w:rsidRPr="004436A7">
              <w:rPr>
                <w:rFonts w:ascii="Calibri" w:eastAsia="Times New Roman" w:hAnsi="Calibri" w:cs="Calibri"/>
                <w:color w:val="000000"/>
              </w:rPr>
              <w:t xml:space="preserve"> и пројекције истих до краја 2022. </w:t>
            </w:r>
            <w:proofErr w:type="gramStart"/>
            <w:r w:rsidRPr="004436A7">
              <w:rPr>
                <w:rFonts w:ascii="Calibri" w:eastAsia="Times New Roman" w:hAnsi="Calibri" w:cs="Calibri"/>
                <w:color w:val="000000"/>
              </w:rPr>
              <w:t>године</w:t>
            </w:r>
            <w:proofErr w:type="gramEnd"/>
            <w:r w:rsidRPr="004436A7">
              <w:rPr>
                <w:rFonts w:ascii="Calibri" w:eastAsia="Times New Roman" w:hAnsi="Calibri" w:cs="Calibri"/>
                <w:color w:val="000000"/>
              </w:rPr>
              <w:t>.</w:t>
            </w: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Укупни приходи и примања буџета Градске општине Палилула за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 xml:space="preserve"> износе 165,618,000.00 динара. Укупни приходи и примања од продаје нефинансијске имовине износе 162,618,060.00 а неутрошена средства из претходне године чине 3,000,000.00 динара.</w:t>
            </w:r>
          </w:p>
          <w:p w:rsidR="004436A7" w:rsidRPr="004436A7" w:rsidRDefault="004436A7" w:rsidP="004436A7">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w:t>
            </w:r>
            <w:r w:rsidRPr="004436A7">
              <w:rPr>
                <w:rFonts w:ascii="Calibri" w:eastAsia="Times New Roman" w:hAnsi="Calibri" w:cs="Calibri"/>
                <w:color w:val="000000"/>
              </w:rPr>
              <w:t>Финансирање надлежности Градске општине Палилула регулисано је Одлуком</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Скупштине града Ниша којом се утврђује расподела прихода који припадају граду, односно градским општинама и распоред трансферних средстава из буџета града Ниша градским</w:t>
            </w:r>
          </w:p>
          <w:p w:rsidR="004436A7" w:rsidRPr="004436A7" w:rsidRDefault="004436A7" w:rsidP="004436A7">
            <w:pPr>
              <w:spacing w:after="0" w:line="240" w:lineRule="auto"/>
              <w:jc w:val="both"/>
              <w:rPr>
                <w:rFonts w:ascii="Calibri" w:eastAsia="Times New Roman" w:hAnsi="Calibri" w:cs="Calibri"/>
                <w:color w:val="000000"/>
              </w:rPr>
            </w:pPr>
            <w:proofErr w:type="gramStart"/>
            <w:r w:rsidRPr="004436A7">
              <w:rPr>
                <w:rFonts w:ascii="Calibri" w:eastAsia="Times New Roman" w:hAnsi="Calibri" w:cs="Calibri"/>
                <w:color w:val="000000"/>
              </w:rPr>
              <w:t>општинама</w:t>
            </w:r>
            <w:proofErr w:type="gramEnd"/>
            <w:r w:rsidRPr="004436A7">
              <w:rPr>
                <w:rFonts w:ascii="Calibri" w:eastAsia="Times New Roman" w:hAnsi="Calibri" w:cs="Calibri"/>
                <w:color w:val="000000"/>
              </w:rPr>
              <w:t>.</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Наведеном Одлуком утврђени су следећи приходи који у целини припадају буџетима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градских општина, а који се остваре на територији општине и то:</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1. Комунална такса за коришћење рекламних паноа, укључујући и истицање и исписивање</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фирме ван пословног простора на објектима који припадају јединици локалне</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самоуправе ( коловози, тротоари, зелене површине, бандере и сл);</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2. Комунална такса за држање средстава за игру („забавне игре“);</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3. Приходи буџета општине од камата на средства консолидованог рачуна трезора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укључена у депозит банака;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4. Приходи од камата на средства корисника буџета општине укључена у депозите код</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пословних банака код којих овлашћени општински орган потписује уговор о</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депоновању средстава по виђењу;</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5. Накнада за коришћење минералних сировина и геотермалних ресурса;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6. Комунална такса за коришћење простора на јавним површинама или испред пословног</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простора у пословне сврхе, осим ради продаје штампе, књига и других публикација,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lastRenderedPageBreak/>
              <w:t>производа старих и уметничких заната и домаће радиности;</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7. Комунална такса за коришћење слободних површина за кампове, постављање шатора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или друге облике привременог коришћења;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8. Комунална такса за заузеће јавне површине грађевинским материјалом;</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9. Приходи од новчаних казни изречених у прекршајном поступку за прекршаје прописане</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актом скупштине општине, као и одузета имовинска корист;</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10. Самодопринос на територији месне заједнице и општине;</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11. Накнада за коришћење простора на јавној површини у пословне и друге сврхе, осим</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ради продаје штампе, књига и других публикација, производа старих и уметничких</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заната и домаће радиности;</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12. Наканада за коришћење јавне површине за оглашавање за сопствене потребе и за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потребе других лица, као и за коришћење површине и објеката за оглашавање за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сопствене потребе и за потребе других лица којим се врши непосредни утицај на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расположивост, квалитет или неку другу особину јавне површине, за које дозволу</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издаје надлежни орган јединице локалне самоуправе;</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13. Накнада за коришћење јавне површине по основу заузећа грађевинским материјалом и</w:t>
            </w:r>
          </w:p>
          <w:p w:rsidR="004436A7" w:rsidRPr="004436A7" w:rsidRDefault="004436A7" w:rsidP="004436A7">
            <w:pPr>
              <w:spacing w:after="0" w:line="240" w:lineRule="auto"/>
              <w:jc w:val="both"/>
              <w:rPr>
                <w:rFonts w:ascii="Calibri" w:eastAsia="Times New Roman" w:hAnsi="Calibri" w:cs="Calibri"/>
                <w:color w:val="000000"/>
              </w:rPr>
            </w:pPr>
            <w:proofErr w:type="gramStart"/>
            <w:r w:rsidRPr="004436A7">
              <w:rPr>
                <w:rFonts w:ascii="Calibri" w:eastAsia="Times New Roman" w:hAnsi="Calibri" w:cs="Calibri"/>
                <w:color w:val="000000"/>
              </w:rPr>
              <w:t>за</w:t>
            </w:r>
            <w:proofErr w:type="gramEnd"/>
            <w:r w:rsidRPr="004436A7">
              <w:rPr>
                <w:rFonts w:ascii="Calibri" w:eastAsia="Times New Roman" w:hAnsi="Calibri" w:cs="Calibri"/>
                <w:color w:val="000000"/>
              </w:rPr>
              <w:t xml:space="preserve"> извођење грађевинских радова и изграљдњу.</w:t>
            </w: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jc w:val="both"/>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jc w:val="both"/>
              <w:rPr>
                <w:rFonts w:ascii="Calibri" w:eastAsia="Times New Roman" w:hAnsi="Calibri" w:cs="Calibri"/>
                <w:color w:val="000000"/>
              </w:rPr>
            </w:pPr>
          </w:p>
        </w:tc>
      </w:tr>
      <w:tr w:rsidR="004436A7" w:rsidRPr="004436A7" w:rsidTr="004436A7">
        <w:trPr>
          <w:trHeight w:val="33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jc w:val="both"/>
              <w:rPr>
                <w:rFonts w:ascii="Calibri" w:eastAsia="Times New Roman" w:hAnsi="Calibri" w:cs="Calibri"/>
                <w:color w:val="000000"/>
              </w:rPr>
            </w:pPr>
          </w:p>
        </w:tc>
      </w:tr>
      <w:tr w:rsidR="004436A7" w:rsidRPr="004436A7" w:rsidTr="004436A7">
        <w:trPr>
          <w:trHeight w:val="464"/>
        </w:trPr>
        <w:tc>
          <w:tcPr>
            <w:tcW w:w="9076" w:type="dxa"/>
            <w:gridSpan w:val="9"/>
            <w:vMerge w:val="restart"/>
            <w:tcBorders>
              <w:top w:val="nil"/>
              <w:left w:val="nil"/>
              <w:bottom w:val="nil"/>
              <w:right w:val="nil"/>
            </w:tcBorders>
            <w:shd w:val="clear" w:color="auto" w:fill="auto"/>
            <w:vAlign w:val="bottom"/>
          </w:tcPr>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lastRenderedPageBreak/>
              <w:t>Овом Одлуком утврђују се и приходи које Град Ниш уступа градским општинама: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Порезе на зараде у висини од 0,90%,</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Порез на имовину у висини 1,50% и</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Порез на друге приходе у висни 0,60%</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Истовремено се овом Одлуком утврђују и текућа трансферна средства која ће се</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месечно преносити градским општинама у висини једне дванаестине на рачун прописан</w:t>
            </w:r>
          </w:p>
          <w:p w:rsidR="004436A7" w:rsidRPr="004436A7" w:rsidRDefault="004436A7" w:rsidP="004436A7">
            <w:pPr>
              <w:spacing w:after="0" w:line="240" w:lineRule="auto"/>
              <w:jc w:val="both"/>
              <w:rPr>
                <w:rFonts w:ascii="Calibri" w:eastAsia="Times New Roman" w:hAnsi="Calibri" w:cs="Calibri"/>
                <w:color w:val="000000"/>
              </w:rPr>
            </w:pPr>
            <w:proofErr w:type="gramStart"/>
            <w:r w:rsidRPr="004436A7">
              <w:rPr>
                <w:rFonts w:ascii="Calibri" w:eastAsia="Times New Roman" w:hAnsi="Calibri" w:cs="Calibri"/>
                <w:color w:val="000000"/>
              </w:rPr>
              <w:t>за</w:t>
            </w:r>
            <w:proofErr w:type="gramEnd"/>
            <w:r w:rsidRPr="004436A7">
              <w:rPr>
                <w:rFonts w:ascii="Calibri" w:eastAsia="Times New Roman" w:hAnsi="Calibri" w:cs="Calibri"/>
                <w:color w:val="000000"/>
              </w:rPr>
              <w:t xml:space="preserve"> уплату текућих трансфера од других нивоа власти. Градским општинама се, осим</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трансферних средстава могу на основу закључка Градског Већа и решења</w:t>
            </w:r>
          </w:p>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Градоначелника, одобрити и средства за реализацију посебних програмских активности</w:t>
            </w:r>
          </w:p>
          <w:p w:rsidR="004436A7" w:rsidRDefault="004436A7" w:rsidP="004436A7">
            <w:pPr>
              <w:spacing w:after="0" w:line="240" w:lineRule="auto"/>
              <w:jc w:val="both"/>
              <w:rPr>
                <w:rFonts w:ascii="Calibri" w:eastAsia="Times New Roman" w:hAnsi="Calibri" w:cs="Calibri"/>
                <w:color w:val="000000"/>
              </w:rPr>
            </w:pPr>
            <w:proofErr w:type="gramStart"/>
            <w:r w:rsidRPr="004436A7">
              <w:rPr>
                <w:rFonts w:ascii="Calibri" w:eastAsia="Times New Roman" w:hAnsi="Calibri" w:cs="Calibri"/>
                <w:color w:val="000000"/>
              </w:rPr>
              <w:t>и</w:t>
            </w:r>
            <w:proofErr w:type="gramEnd"/>
            <w:r w:rsidRPr="004436A7">
              <w:rPr>
                <w:rFonts w:ascii="Calibri" w:eastAsia="Times New Roman" w:hAnsi="Calibri" w:cs="Calibri"/>
                <w:color w:val="000000"/>
              </w:rPr>
              <w:t xml:space="preserve"> пројеката.</w:t>
            </w: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У оквиру текућих прихода најзначајнији су порези, од којих приходи од пореза на доходак, добит и капиталне добитке, са планираним износом од 70</w:t>
            </w:r>
            <w:proofErr w:type="gramStart"/>
            <w:r w:rsidRPr="004436A7">
              <w:rPr>
                <w:rFonts w:ascii="Calibri" w:eastAsia="Times New Roman" w:hAnsi="Calibri" w:cs="Calibri"/>
                <w:color w:val="000000"/>
              </w:rPr>
              <w:t>,955,000,00</w:t>
            </w:r>
            <w:proofErr w:type="gramEnd"/>
            <w:r w:rsidRPr="004436A7">
              <w:rPr>
                <w:rFonts w:ascii="Calibri" w:eastAsia="Times New Roman" w:hAnsi="Calibri" w:cs="Calibri"/>
                <w:color w:val="000000"/>
              </w:rPr>
              <w:t xml:space="preserve">  динара.</w:t>
            </w: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Планирани приходи од пореза на зараде у 2023. </w:t>
            </w:r>
            <w:proofErr w:type="gramStart"/>
            <w:r w:rsidRPr="004436A7">
              <w:rPr>
                <w:rFonts w:ascii="Calibri" w:eastAsia="Times New Roman" w:hAnsi="Calibri" w:cs="Calibri"/>
                <w:color w:val="000000"/>
              </w:rPr>
              <w:t>години</w:t>
            </w:r>
            <w:proofErr w:type="gramEnd"/>
            <w:r w:rsidRPr="004436A7">
              <w:rPr>
                <w:rFonts w:ascii="Calibri" w:eastAsia="Times New Roman" w:hAnsi="Calibri" w:cs="Calibri"/>
                <w:color w:val="000000"/>
              </w:rPr>
              <w:t xml:space="preserve"> износе 67,000,000.00 динара.Повећањем обима производње постојећих страних инвеститора створиће се услови да домаћи добављачи повећају ниво својих пословних активности што ће за директну последицу имати повећање запослености. Очекује се повећање запослености у складу са Програмом и мерама активне политике запошљавања и запошљавање у малим и средњим предузећима. Повећава се минимална цена рада на 230.00 динара по радном сату.  Повећање прихода од пореза на зараде је и на основу повећања зарада запосленима </w:t>
            </w:r>
            <w:proofErr w:type="gramStart"/>
            <w:r w:rsidRPr="004436A7">
              <w:rPr>
                <w:rFonts w:ascii="Calibri" w:eastAsia="Times New Roman" w:hAnsi="Calibri" w:cs="Calibri"/>
                <w:color w:val="000000"/>
              </w:rPr>
              <w:t>у  јавним</w:t>
            </w:r>
            <w:proofErr w:type="gramEnd"/>
            <w:r w:rsidRPr="004436A7">
              <w:rPr>
                <w:rFonts w:ascii="Calibri" w:eastAsia="Times New Roman" w:hAnsi="Calibri" w:cs="Calibri"/>
                <w:color w:val="000000"/>
              </w:rPr>
              <w:t xml:space="preserve"> службама. Такође, до повећања прихода од пореза на зараде доћи ће и због повећања минималне зараде.         </w:t>
            </w: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   Приходи од пореза на имовину у укупном износу од 27,000,000.00 динара и то: Порез на имовину од физичких лица у износу од 17,000,000.00 динара </w:t>
            </w:r>
            <w:proofErr w:type="gramStart"/>
            <w:r w:rsidRPr="004436A7">
              <w:rPr>
                <w:rFonts w:ascii="Calibri" w:eastAsia="Times New Roman" w:hAnsi="Calibri" w:cs="Calibri"/>
                <w:color w:val="000000"/>
              </w:rPr>
              <w:t>и  Порез</w:t>
            </w:r>
            <w:proofErr w:type="gramEnd"/>
            <w:r w:rsidRPr="004436A7">
              <w:rPr>
                <w:rFonts w:ascii="Calibri" w:eastAsia="Times New Roman" w:hAnsi="Calibri" w:cs="Calibri"/>
                <w:color w:val="000000"/>
              </w:rPr>
              <w:t xml:space="preserve"> на имовину од правних лица у износу од 10,000,000.00 динара.  Такође се очекује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w:t>
            </w:r>
            <w:proofErr w:type="gramStart"/>
            <w:r w:rsidRPr="004436A7">
              <w:rPr>
                <w:rFonts w:ascii="Calibri" w:eastAsia="Times New Roman" w:hAnsi="Calibri" w:cs="Calibri"/>
                <w:color w:val="000000"/>
              </w:rPr>
              <w:t>који</w:t>
            </w:r>
            <w:proofErr w:type="gramEnd"/>
            <w:r w:rsidRPr="004436A7">
              <w:rPr>
                <w:rFonts w:ascii="Calibri" w:eastAsia="Times New Roman" w:hAnsi="Calibri" w:cs="Calibri"/>
                <w:color w:val="000000"/>
              </w:rPr>
              <w:t xml:space="preserve"> се односи на утврђивање нових пореских обавеза за период за који није наступила застарелост.</w:t>
            </w: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  Порези на добра и услуге планирани су у износу од 11,500,000.00 динара.На основу одлуке о утврђивању прихода који припадају граду, односно градским општинама и распореду трансферних средстава из буџета града Ниша градским општинама у члану 4. </w:t>
            </w:r>
            <w:proofErr w:type="gramStart"/>
            <w:r w:rsidRPr="004436A7">
              <w:rPr>
                <w:rFonts w:ascii="Calibri" w:eastAsia="Times New Roman" w:hAnsi="Calibri" w:cs="Calibri"/>
                <w:color w:val="000000"/>
              </w:rPr>
              <w:t>се</w:t>
            </w:r>
            <w:proofErr w:type="gramEnd"/>
            <w:r w:rsidRPr="004436A7">
              <w:rPr>
                <w:rFonts w:ascii="Calibri" w:eastAsia="Times New Roman" w:hAnsi="Calibri" w:cs="Calibri"/>
                <w:color w:val="000000"/>
              </w:rPr>
              <w:t xml:space="preserve"> наводи да градским општинама у целини припадају приходи који се остварују на територији општине и то :  Комунална такса за коришћење рекламних паноа, укључујући и истицање и исписивање фирме </w:t>
            </w:r>
            <w:r w:rsidRPr="004436A7">
              <w:rPr>
                <w:rFonts w:ascii="Calibri" w:eastAsia="Times New Roman" w:hAnsi="Calibri" w:cs="Calibri"/>
                <w:color w:val="000000"/>
              </w:rPr>
              <w:lastRenderedPageBreak/>
              <w:t>ван пословног простора на објектима који припадају јединици локалне самоуправе (коловози, тротоари, зелене површине, бандере и сл.)</w:t>
            </w: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Трансфери од других нивоа власти планирани су у износу од 50,000,000.00 динара.</w:t>
            </w: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Други приходи су планирани на нивоу од 1,063,000.00 динара од којих су приходи од имовине 32,000.00 , приходи од продаје добара и услуга планирани су у обиму од 101,000.00 динара, Новчане казне и одузета  имовинска корист 920,000.00 динара</w:t>
            </w:r>
          </w:p>
          <w:p w:rsidR="004436A7" w:rsidRDefault="004436A7" w:rsidP="004436A7">
            <w:pPr>
              <w:spacing w:after="0" w:line="240" w:lineRule="auto"/>
              <w:jc w:val="both"/>
              <w:rPr>
                <w:rFonts w:ascii="Calibri" w:eastAsia="Times New Roman" w:hAnsi="Calibri" w:cs="Calibri"/>
                <w:color w:val="000000"/>
              </w:rPr>
            </w:pP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III СТРУКТУРА РАСХОДА И ИЗДАТАКА</w:t>
            </w:r>
          </w:p>
          <w:p w:rsidR="004436A7" w:rsidRDefault="004436A7" w:rsidP="004436A7">
            <w:pPr>
              <w:spacing w:after="0" w:line="240" w:lineRule="auto"/>
              <w:jc w:val="both"/>
              <w:rPr>
                <w:rFonts w:ascii="Calibri" w:eastAsia="Times New Roman" w:hAnsi="Calibri" w:cs="Calibri"/>
                <w:color w:val="000000"/>
              </w:rPr>
            </w:pP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Локална власт масу средстава за плате за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 xml:space="preserve"> планира у складу са одредбама Закона о буџету Републике Србије за 2022. годину и у складу са Законом о буџетском систему („Службени гласник РС“, број 54/09, 73/10, 101/10, 101/11, 93/12, 62/13, 63/13, 108/13, 142/14, 68/15 – др. закон, 103/15, 99/16, 113/17, 95/18, 31/19 и 72/19) и у складу са Упутством министра финансија за израду буџета локалне власти за 2021, 2022. </w:t>
            </w:r>
            <w:proofErr w:type="gramStart"/>
            <w:r w:rsidRPr="004436A7">
              <w:rPr>
                <w:rFonts w:ascii="Calibri" w:eastAsia="Times New Roman" w:hAnsi="Calibri" w:cs="Calibri"/>
                <w:color w:val="000000"/>
              </w:rPr>
              <w:t>и</w:t>
            </w:r>
            <w:proofErr w:type="gramEnd"/>
            <w:r w:rsidRPr="004436A7">
              <w:rPr>
                <w:rFonts w:ascii="Calibri" w:eastAsia="Times New Roman" w:hAnsi="Calibri" w:cs="Calibri"/>
                <w:color w:val="000000"/>
              </w:rPr>
              <w:t xml:space="preserve">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w:t>
            </w:r>
          </w:p>
          <w:p w:rsid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У буџетској 2023. </w:t>
            </w:r>
            <w:proofErr w:type="gramStart"/>
            <w:r w:rsidRPr="004436A7">
              <w:rPr>
                <w:rFonts w:ascii="Calibri" w:eastAsia="Times New Roman" w:hAnsi="Calibri" w:cs="Calibri"/>
                <w:color w:val="000000"/>
              </w:rPr>
              <w:t>години</w:t>
            </w:r>
            <w:proofErr w:type="gramEnd"/>
            <w:r w:rsidRPr="004436A7">
              <w:rPr>
                <w:rFonts w:ascii="Calibri" w:eastAsia="Times New Roman" w:hAnsi="Calibri" w:cs="Calibri"/>
                <w:color w:val="000000"/>
              </w:rPr>
              <w:t xml:space="preserve"> не планирају се обрачун и исплата божићних, годишњих и других врста награда и бонуса предвиђених посебним и појединачним колективним уговорима, осим јубиларних награда за запослене који то право стичу у 2023. </w:t>
            </w:r>
            <w:proofErr w:type="gramStart"/>
            <w:r w:rsidRPr="004436A7">
              <w:rPr>
                <w:rFonts w:ascii="Calibri" w:eastAsia="Times New Roman" w:hAnsi="Calibri" w:cs="Calibri"/>
                <w:color w:val="000000"/>
              </w:rPr>
              <w:t>години</w:t>
            </w:r>
            <w:proofErr w:type="gramEnd"/>
            <w:r w:rsidRPr="004436A7">
              <w:rPr>
                <w:rFonts w:ascii="Calibri" w:eastAsia="Times New Roman" w:hAnsi="Calibri" w:cs="Calibri"/>
                <w:color w:val="000000"/>
              </w:rPr>
              <w:t>.</w:t>
            </w:r>
          </w:p>
          <w:tbl>
            <w:tblPr>
              <w:tblW w:w="9060" w:type="dxa"/>
              <w:tblLook w:val="04A0" w:firstRow="1" w:lastRow="0" w:firstColumn="1" w:lastColumn="0" w:noHBand="0" w:noVBand="1"/>
            </w:tblPr>
            <w:tblGrid>
              <w:gridCol w:w="9060"/>
            </w:tblGrid>
            <w:tr w:rsidR="004436A7" w:rsidRPr="004436A7" w:rsidTr="004436A7">
              <w:trPr>
                <w:trHeight w:val="300"/>
              </w:trPr>
              <w:tc>
                <w:tcPr>
                  <w:tcW w:w="9060" w:type="dxa"/>
                  <w:vMerge w:val="restart"/>
                  <w:tcBorders>
                    <w:top w:val="nil"/>
                    <w:left w:val="nil"/>
                    <w:bottom w:val="nil"/>
                    <w:right w:val="nil"/>
                  </w:tcBorders>
                  <w:shd w:val="clear" w:color="auto" w:fill="auto"/>
                  <w:vAlign w:val="bottom"/>
                  <w:hideMark/>
                </w:tcPr>
                <w:p w:rsidR="004436A7" w:rsidRPr="004436A7" w:rsidRDefault="004436A7" w:rsidP="00B31BE5">
                  <w:pPr>
                    <w:spacing w:after="0" w:line="240" w:lineRule="auto"/>
                    <w:rPr>
                      <w:rFonts w:ascii="Calibri" w:eastAsia="Times New Roman" w:hAnsi="Calibri" w:cs="Calibri"/>
                      <w:color w:val="000000"/>
                    </w:rPr>
                  </w:pPr>
                  <w:r w:rsidRPr="004436A7">
                    <w:rPr>
                      <w:rFonts w:ascii="Calibri" w:eastAsia="Times New Roman" w:hAnsi="Calibri" w:cs="Calibri"/>
                      <w:color w:val="000000"/>
                    </w:rPr>
                    <w:t>Расходи и издаци буџета Градске општине Палилула за 2023. годину планирани су у оквиру раздела директних корисника буџета за следеће врсте р</w:t>
                  </w:r>
                  <w:r w:rsidR="00B31BE5">
                    <w:rPr>
                      <w:rFonts w:ascii="Calibri" w:eastAsia="Times New Roman" w:hAnsi="Calibri" w:cs="Calibri"/>
                      <w:color w:val="000000"/>
                    </w:rPr>
                    <w:t>асхода:</w:t>
                  </w:r>
                  <w:r w:rsidR="00B31BE5">
                    <w:rPr>
                      <w:rFonts w:ascii="Calibri" w:eastAsia="Times New Roman" w:hAnsi="Calibri" w:cs="Calibri"/>
                      <w:color w:val="000000"/>
                    </w:rPr>
                    <w:br/>
                    <w:t>Текући</w:t>
                  </w:r>
                  <w:r w:rsidR="00B31BE5">
                    <w:rPr>
                      <w:rFonts w:ascii="Calibri" w:eastAsia="Times New Roman" w:hAnsi="Calibri" w:cs="Calibri"/>
                      <w:color w:val="000000"/>
                      <w:lang w:val="sr-Cyrl-RS"/>
                    </w:rPr>
                    <w:t xml:space="preserve"> </w:t>
                  </w:r>
                  <w:r w:rsidR="00B31BE5">
                    <w:rPr>
                      <w:rFonts w:ascii="Calibri" w:eastAsia="Times New Roman" w:hAnsi="Calibri" w:cs="Calibri"/>
                      <w:color w:val="000000"/>
                    </w:rPr>
                    <w:t xml:space="preserve">расходи у износу </w:t>
                  </w:r>
                  <w:r w:rsidR="00B31BE5">
                    <w:rPr>
                      <w:rFonts w:ascii="Calibri" w:eastAsia="Times New Roman" w:hAnsi="Calibri" w:cs="Calibri"/>
                      <w:color w:val="000000"/>
                      <w:lang w:val="sr-Cyrl-RS"/>
                    </w:rPr>
                    <w:t xml:space="preserve">од </w:t>
                  </w:r>
                  <w:r w:rsidRPr="004436A7">
                    <w:rPr>
                      <w:rFonts w:ascii="Calibri" w:eastAsia="Times New Roman" w:hAnsi="Calibri" w:cs="Calibri"/>
                      <w:color w:val="000000"/>
                    </w:rPr>
                    <w:t>156,618,000 динара</w:t>
                  </w:r>
                  <w:r w:rsidRPr="004436A7">
                    <w:rPr>
                      <w:rFonts w:ascii="Calibri" w:eastAsia="Times New Roman" w:hAnsi="Calibri" w:cs="Calibri"/>
                      <w:color w:val="000000"/>
                    </w:rPr>
                    <w:br/>
                    <w:t>Издаци за набавку нефинансиј</w:t>
                  </w:r>
                  <w:r w:rsidR="00B31BE5">
                    <w:rPr>
                      <w:rFonts w:ascii="Calibri" w:eastAsia="Times New Roman" w:hAnsi="Calibri" w:cs="Calibri"/>
                      <w:color w:val="000000"/>
                    </w:rPr>
                    <w:t>ске имовине у износу од</w:t>
                  </w:r>
                  <w:r w:rsidRPr="004436A7">
                    <w:rPr>
                      <w:rFonts w:ascii="Calibri" w:eastAsia="Times New Roman" w:hAnsi="Calibri" w:cs="Calibri"/>
                      <w:color w:val="000000"/>
                    </w:rPr>
                    <w:t xml:space="preserve">  9,000,000.00 д</w:t>
                  </w:r>
                  <w:r w:rsidR="00B31BE5">
                    <w:rPr>
                      <w:rFonts w:ascii="Calibri" w:eastAsia="Times New Roman" w:hAnsi="Calibri" w:cs="Calibri"/>
                      <w:color w:val="000000"/>
                    </w:rPr>
                    <w:t>инара</w:t>
                  </w:r>
                  <w:r w:rsidR="00B31BE5">
                    <w:rPr>
                      <w:rFonts w:ascii="Calibri" w:eastAsia="Times New Roman" w:hAnsi="Calibri" w:cs="Calibri"/>
                      <w:color w:val="000000"/>
                    </w:rPr>
                    <w:br/>
                    <w:t xml:space="preserve">УКУПНО </w:t>
                  </w:r>
                  <w:r w:rsidRPr="004436A7">
                    <w:rPr>
                      <w:rFonts w:ascii="Calibri" w:eastAsia="Times New Roman" w:hAnsi="Calibri" w:cs="Calibri"/>
                      <w:color w:val="000000"/>
                    </w:rPr>
                    <w:t xml:space="preserve">  165,618,000.00 динара</w:t>
                  </w:r>
                </w:p>
              </w:tc>
            </w:tr>
            <w:tr w:rsidR="004436A7" w:rsidRPr="004436A7" w:rsidTr="004436A7">
              <w:trPr>
                <w:trHeight w:val="300"/>
              </w:trPr>
              <w:tc>
                <w:tcPr>
                  <w:tcW w:w="9060" w:type="dxa"/>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60" w:type="dxa"/>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60" w:type="dxa"/>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60" w:type="dxa"/>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60" w:type="dxa"/>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bl>
          <w:p w:rsidR="004436A7" w:rsidRDefault="004436A7" w:rsidP="004436A7">
            <w:pPr>
              <w:spacing w:after="0" w:line="240" w:lineRule="auto"/>
              <w:jc w:val="both"/>
              <w:rPr>
                <w:rFonts w:ascii="Calibri" w:eastAsia="Times New Roman" w:hAnsi="Calibri" w:cs="Calibri"/>
                <w:color w:val="000000"/>
              </w:rPr>
            </w:pPr>
          </w:p>
          <w:tbl>
            <w:tblPr>
              <w:tblW w:w="9076" w:type="dxa"/>
              <w:tblLook w:val="04A0" w:firstRow="1" w:lastRow="0" w:firstColumn="1" w:lastColumn="0" w:noHBand="0" w:noVBand="1"/>
            </w:tblPr>
            <w:tblGrid>
              <w:gridCol w:w="1009"/>
              <w:gridCol w:w="1009"/>
              <w:gridCol w:w="1009"/>
              <w:gridCol w:w="1009"/>
              <w:gridCol w:w="1008"/>
              <w:gridCol w:w="1008"/>
              <w:gridCol w:w="1008"/>
              <w:gridCol w:w="1008"/>
              <w:gridCol w:w="1008"/>
            </w:tblGrid>
            <w:tr w:rsidR="004436A7" w:rsidRPr="004436A7" w:rsidTr="004436A7">
              <w:trPr>
                <w:trHeight w:val="300"/>
              </w:trPr>
              <w:tc>
                <w:tcPr>
                  <w:tcW w:w="9076" w:type="dxa"/>
                  <w:gridSpan w:val="9"/>
                  <w:tcBorders>
                    <w:top w:val="nil"/>
                    <w:left w:val="nil"/>
                    <w:bottom w:val="nil"/>
                    <w:right w:val="nil"/>
                  </w:tcBorders>
                  <w:shd w:val="clear" w:color="auto" w:fill="auto"/>
                  <w:noWrap/>
                  <w:vAlign w:val="center"/>
                  <w:hideMark/>
                </w:tcPr>
                <w:p w:rsidR="004436A7" w:rsidRPr="004436A7" w:rsidRDefault="004436A7" w:rsidP="004436A7">
                  <w:pPr>
                    <w:spacing w:after="0" w:line="240" w:lineRule="auto"/>
                    <w:jc w:val="center"/>
                    <w:rPr>
                      <w:rFonts w:ascii="Calibri" w:eastAsia="Times New Roman" w:hAnsi="Calibri" w:cs="Calibri"/>
                      <w:color w:val="000000"/>
                    </w:rPr>
                  </w:pPr>
                  <w:r w:rsidRPr="004436A7">
                    <w:rPr>
                      <w:rFonts w:ascii="Calibri" w:eastAsia="Times New Roman" w:hAnsi="Calibri" w:cs="Calibri"/>
                      <w:color w:val="000000"/>
                    </w:rPr>
                    <w:t>Текући расходи</w:t>
                  </w:r>
                </w:p>
              </w:tc>
            </w:tr>
            <w:tr w:rsidR="004436A7" w:rsidRPr="004436A7" w:rsidTr="004436A7">
              <w:trPr>
                <w:trHeight w:val="300"/>
              </w:trPr>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tcBorders>
                    <w:top w:val="nil"/>
                    <w:left w:val="nil"/>
                    <w:bottom w:val="nil"/>
                    <w:right w:val="nil"/>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rPr>
                  </w:pPr>
                  <w:r w:rsidRPr="004436A7">
                    <w:rPr>
                      <w:rFonts w:ascii="Calibri" w:eastAsia="Times New Roman" w:hAnsi="Calibri" w:cs="Calibri"/>
                      <w:color w:val="000000"/>
                    </w:rPr>
                    <w:t>У оквиру текућих расхода планирани су следећи расходи:</w:t>
                  </w:r>
                </w:p>
              </w:tc>
            </w:tr>
            <w:tr w:rsidR="004436A7" w:rsidRPr="004436A7" w:rsidTr="004436A7">
              <w:trPr>
                <w:trHeight w:val="300"/>
              </w:trPr>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val="restart"/>
                  <w:tcBorders>
                    <w:top w:val="nil"/>
                    <w:left w:val="nil"/>
                    <w:bottom w:val="nil"/>
                    <w:right w:val="nil"/>
                  </w:tcBorders>
                  <w:shd w:val="clear" w:color="auto" w:fill="auto"/>
                  <w:vAlign w:val="bottom"/>
                  <w:hideMark/>
                </w:tcPr>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 xml:space="preserve">Расходи за запослене                                                            </w:t>
                  </w:r>
                  <w:r w:rsidR="00F35AB3">
                    <w:rPr>
                      <w:rFonts w:ascii="Calibri" w:eastAsia="Times New Roman" w:hAnsi="Calibri" w:cs="Calibri"/>
                      <w:color w:val="000000"/>
                      <w:lang w:val="sr-Cyrl-RS"/>
                    </w:rPr>
                    <w:t xml:space="preserve"> </w:t>
                  </w:r>
                  <w:r w:rsidRPr="004436A7">
                    <w:rPr>
                      <w:rFonts w:ascii="Calibri" w:eastAsia="Times New Roman" w:hAnsi="Calibri" w:cs="Calibri"/>
                      <w:color w:val="000000"/>
                    </w:rPr>
                    <w:t>75,113,000.00                       45,35 %</w:t>
                  </w:r>
                  <w:r w:rsidRPr="004436A7">
                    <w:rPr>
                      <w:rFonts w:ascii="Calibri" w:eastAsia="Times New Roman" w:hAnsi="Calibri" w:cs="Calibri"/>
                      <w:color w:val="000000"/>
                    </w:rPr>
                    <w:br/>
                    <w:t xml:space="preserve">Коришћење услуга и роба                                                   </w:t>
                  </w:r>
                  <w:r w:rsidR="00F35AB3">
                    <w:rPr>
                      <w:rFonts w:ascii="Calibri" w:eastAsia="Times New Roman" w:hAnsi="Calibri" w:cs="Calibri"/>
                      <w:color w:val="000000"/>
                      <w:lang w:val="sr-Cyrl-RS"/>
                    </w:rPr>
                    <w:t xml:space="preserve">  </w:t>
                  </w:r>
                  <w:r w:rsidRPr="004436A7">
                    <w:rPr>
                      <w:rFonts w:ascii="Calibri" w:eastAsia="Times New Roman" w:hAnsi="Calibri" w:cs="Calibri"/>
                      <w:color w:val="000000"/>
                    </w:rPr>
                    <w:t>61,305,000.00                         37,02 %</w:t>
                  </w:r>
                  <w:r w:rsidRPr="004436A7">
                    <w:rPr>
                      <w:rFonts w:ascii="Calibri" w:eastAsia="Times New Roman" w:hAnsi="Calibri" w:cs="Calibri"/>
                      <w:color w:val="000000"/>
                    </w:rPr>
                    <w:br/>
                    <w:t>Субвенције                                                                               1,200,000.00                         0,72%</w:t>
                  </w:r>
                  <w:r w:rsidRPr="004436A7">
                    <w:rPr>
                      <w:rFonts w:ascii="Calibri" w:eastAsia="Times New Roman" w:hAnsi="Calibri" w:cs="Calibri"/>
                      <w:color w:val="000000"/>
                    </w:rPr>
                    <w:br/>
                    <w:t xml:space="preserve">Донације, дотације и трансфери                                     </w:t>
                  </w:r>
                  <w:r w:rsidR="00F35AB3">
                    <w:rPr>
                      <w:rFonts w:ascii="Calibri" w:eastAsia="Times New Roman" w:hAnsi="Calibri" w:cs="Calibri"/>
                      <w:color w:val="000000"/>
                      <w:lang w:val="sr-Cyrl-RS"/>
                    </w:rPr>
                    <w:t xml:space="preserve">       </w:t>
                  </w:r>
                  <w:r w:rsidRPr="004436A7">
                    <w:rPr>
                      <w:rFonts w:ascii="Calibri" w:eastAsia="Times New Roman" w:hAnsi="Calibri" w:cs="Calibri"/>
                      <w:color w:val="000000"/>
                    </w:rPr>
                    <w:t xml:space="preserve"> </w:t>
                  </w:r>
                  <w:r w:rsidR="00F35AB3">
                    <w:rPr>
                      <w:rFonts w:ascii="Calibri" w:eastAsia="Times New Roman" w:hAnsi="Calibri" w:cs="Calibri"/>
                      <w:color w:val="000000"/>
                      <w:lang w:val="sr-Cyrl-RS"/>
                    </w:rPr>
                    <w:t xml:space="preserve"> </w:t>
                  </w:r>
                  <w:r w:rsidRPr="004436A7">
                    <w:rPr>
                      <w:rFonts w:ascii="Calibri" w:eastAsia="Times New Roman" w:hAnsi="Calibri" w:cs="Calibri"/>
                      <w:color w:val="000000"/>
                    </w:rPr>
                    <w:t xml:space="preserve">  7,000,000.00                             4,23 %</w:t>
                  </w:r>
                  <w:r w:rsidRPr="004436A7">
                    <w:rPr>
                      <w:rFonts w:ascii="Calibri" w:eastAsia="Times New Roman" w:hAnsi="Calibri" w:cs="Calibri"/>
                      <w:color w:val="000000"/>
                    </w:rPr>
                    <w:br/>
                    <w:t>Oстали расходи                                                                        6,800,000.00                        4,11 %</w:t>
                  </w:r>
                  <w:r w:rsidRPr="004436A7">
                    <w:rPr>
                      <w:rFonts w:ascii="Calibri" w:eastAsia="Times New Roman" w:hAnsi="Calibri" w:cs="Calibri"/>
                      <w:color w:val="000000"/>
                    </w:rPr>
                    <w:br/>
                    <w:t xml:space="preserve">Административни  трансфери из буџета                         </w:t>
                  </w:r>
                  <w:r w:rsidR="00F35AB3">
                    <w:rPr>
                      <w:rFonts w:ascii="Calibri" w:eastAsia="Times New Roman" w:hAnsi="Calibri" w:cs="Calibri"/>
                      <w:color w:val="000000"/>
                      <w:lang w:val="sr-Cyrl-RS"/>
                    </w:rPr>
                    <w:t xml:space="preserve">             </w:t>
                  </w:r>
                  <w:r w:rsidRPr="004436A7">
                    <w:rPr>
                      <w:rFonts w:ascii="Calibri" w:eastAsia="Times New Roman" w:hAnsi="Calibri" w:cs="Calibri"/>
                      <w:color w:val="000000"/>
                    </w:rPr>
                    <w:t>5,000,000.00</w:t>
                  </w:r>
                  <w:r w:rsidR="00F35AB3">
                    <w:rPr>
                      <w:rFonts w:ascii="Calibri" w:eastAsia="Times New Roman" w:hAnsi="Calibri" w:cs="Calibri"/>
                      <w:color w:val="000000"/>
                    </w:rPr>
                    <w:t xml:space="preserve">                           </w:t>
                  </w:r>
                  <w:r w:rsidRPr="004436A7">
                    <w:rPr>
                      <w:rFonts w:ascii="Calibri" w:eastAsia="Times New Roman" w:hAnsi="Calibri" w:cs="Calibri"/>
                      <w:color w:val="000000"/>
                    </w:rPr>
                    <w:t xml:space="preserve">  3,02</w:t>
                  </w:r>
                  <w:r w:rsidR="00F35AB3">
                    <w:rPr>
                      <w:rFonts w:ascii="Calibri" w:eastAsia="Times New Roman" w:hAnsi="Calibri" w:cs="Calibri"/>
                      <w:color w:val="000000"/>
                      <w:lang w:val="sr-Cyrl-RS"/>
                    </w:rPr>
                    <w:t xml:space="preserve"> </w:t>
                  </w:r>
                  <w:r w:rsidRPr="004436A7">
                    <w:rPr>
                      <w:rFonts w:ascii="Calibri" w:eastAsia="Times New Roman" w:hAnsi="Calibri" w:cs="Calibri"/>
                      <w:color w:val="000000"/>
                    </w:rPr>
                    <w:t>%</w:t>
                  </w: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bl>
          <w:p w:rsidR="004436A7" w:rsidRDefault="004436A7" w:rsidP="004436A7">
            <w:pPr>
              <w:spacing w:after="0" w:line="240" w:lineRule="auto"/>
              <w:jc w:val="both"/>
              <w:rPr>
                <w:rFonts w:ascii="Calibri" w:eastAsia="Times New Roman" w:hAnsi="Calibri" w:cs="Calibri"/>
                <w:color w:val="000000"/>
              </w:rPr>
            </w:pPr>
          </w:p>
          <w:tbl>
            <w:tblPr>
              <w:tblW w:w="9076" w:type="dxa"/>
              <w:tblLook w:val="04A0" w:firstRow="1" w:lastRow="0" w:firstColumn="1" w:lastColumn="0" w:noHBand="0" w:noVBand="1"/>
            </w:tblPr>
            <w:tblGrid>
              <w:gridCol w:w="960"/>
              <w:gridCol w:w="49"/>
              <w:gridCol w:w="911"/>
              <w:gridCol w:w="98"/>
              <w:gridCol w:w="962"/>
              <w:gridCol w:w="47"/>
              <w:gridCol w:w="913"/>
              <w:gridCol w:w="96"/>
              <w:gridCol w:w="864"/>
              <w:gridCol w:w="144"/>
              <w:gridCol w:w="816"/>
              <w:gridCol w:w="192"/>
              <w:gridCol w:w="928"/>
              <w:gridCol w:w="80"/>
              <w:gridCol w:w="880"/>
              <w:gridCol w:w="128"/>
              <w:gridCol w:w="992"/>
              <w:gridCol w:w="16"/>
            </w:tblGrid>
            <w:tr w:rsidR="004436A7" w:rsidRPr="004436A7" w:rsidTr="004436A7">
              <w:trPr>
                <w:trHeight w:val="300"/>
              </w:trPr>
              <w:tc>
                <w:tcPr>
                  <w:tcW w:w="9076" w:type="dxa"/>
                  <w:gridSpan w:val="18"/>
                  <w:tcBorders>
                    <w:top w:val="nil"/>
                    <w:left w:val="nil"/>
                    <w:bottom w:val="nil"/>
                    <w:right w:val="nil"/>
                  </w:tcBorders>
                  <w:shd w:val="clear" w:color="auto" w:fill="auto"/>
                  <w:noWrap/>
                  <w:vAlign w:val="center"/>
                  <w:hideMark/>
                </w:tcPr>
                <w:p w:rsidR="004436A7" w:rsidRPr="004436A7" w:rsidRDefault="004436A7" w:rsidP="004436A7">
                  <w:pPr>
                    <w:spacing w:after="0" w:line="240" w:lineRule="auto"/>
                    <w:jc w:val="center"/>
                    <w:rPr>
                      <w:rFonts w:ascii="Calibri" w:eastAsia="Times New Roman" w:hAnsi="Calibri" w:cs="Calibri"/>
                      <w:color w:val="000000"/>
                    </w:rPr>
                  </w:pPr>
                  <w:r w:rsidRPr="004436A7">
                    <w:rPr>
                      <w:rFonts w:ascii="Calibri" w:eastAsia="Times New Roman" w:hAnsi="Calibri" w:cs="Calibri"/>
                      <w:color w:val="000000"/>
                    </w:rPr>
                    <w:t>Расходи за запослене</w:t>
                  </w:r>
                </w:p>
              </w:tc>
            </w:tr>
            <w:tr w:rsidR="004436A7" w:rsidRPr="004436A7" w:rsidTr="004436A7">
              <w:trPr>
                <w:trHeight w:val="300"/>
              </w:trPr>
              <w:tc>
                <w:tcPr>
                  <w:tcW w:w="1009"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gridSpan w:val="2"/>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val="restart"/>
                  <w:tcBorders>
                    <w:top w:val="nil"/>
                    <w:left w:val="nil"/>
                    <w:bottom w:val="nil"/>
                    <w:right w:val="nil"/>
                  </w:tcBorders>
                  <w:shd w:val="clear" w:color="auto" w:fill="auto"/>
                  <w:vAlign w:val="bottom"/>
                  <w:hideMark/>
                </w:tcPr>
                <w:p w:rsidR="004436A7" w:rsidRPr="004436A7" w:rsidRDefault="004436A7" w:rsidP="00F35AB3">
                  <w:pPr>
                    <w:spacing w:after="0" w:line="240" w:lineRule="auto"/>
                    <w:rPr>
                      <w:rFonts w:ascii="Calibri" w:eastAsia="Times New Roman" w:hAnsi="Calibri" w:cs="Calibri"/>
                      <w:color w:val="000000"/>
                    </w:rPr>
                  </w:pPr>
                  <w:r w:rsidRPr="004436A7">
                    <w:rPr>
                      <w:rFonts w:ascii="Calibri" w:eastAsia="Times New Roman" w:hAnsi="Calibri" w:cs="Calibri"/>
                      <w:color w:val="000000"/>
                    </w:rPr>
                    <w:t xml:space="preserve">                   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r w:rsidRPr="004436A7">
                    <w:rPr>
                      <w:rFonts w:ascii="Calibri" w:eastAsia="Times New Roman" w:hAnsi="Calibri" w:cs="Calibri"/>
                      <w:color w:val="000000"/>
                    </w:rPr>
                    <w:br/>
                  </w:r>
                  <w:r w:rsidRPr="004436A7">
                    <w:rPr>
                      <w:rFonts w:ascii="Calibri" w:eastAsia="Times New Roman" w:hAnsi="Calibri" w:cs="Calibri"/>
                      <w:color w:val="000000"/>
                    </w:rPr>
                    <w:br/>
                    <w:t xml:space="preserve">                   У складу са Упутством за припрему одлуке о буџету локалне власти за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 xml:space="preserve"> и појекцијама за 2024. </w:t>
                  </w:r>
                  <w:proofErr w:type="gramStart"/>
                  <w:r w:rsidRPr="004436A7">
                    <w:rPr>
                      <w:rFonts w:ascii="Calibri" w:eastAsia="Times New Roman" w:hAnsi="Calibri" w:cs="Calibri"/>
                      <w:color w:val="000000"/>
                    </w:rPr>
                    <w:t>и</w:t>
                  </w:r>
                  <w:proofErr w:type="gramEnd"/>
                  <w:r w:rsidRPr="004436A7">
                    <w:rPr>
                      <w:rFonts w:ascii="Calibri" w:eastAsia="Times New Roman" w:hAnsi="Calibri" w:cs="Calibri"/>
                      <w:color w:val="000000"/>
                    </w:rPr>
                    <w:t xml:space="preserve"> 2025.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 xml:space="preserve"> које је донео Минис</w:t>
                  </w:r>
                  <w:r w:rsidR="00F35AB3">
                    <w:rPr>
                      <w:rFonts w:ascii="Calibri" w:eastAsia="Times New Roman" w:hAnsi="Calibri" w:cs="Calibri"/>
                      <w:color w:val="000000"/>
                    </w:rPr>
                    <w:t>тар финансија, исказује се број</w:t>
                  </w:r>
                  <w:r w:rsidR="00F35AB3">
                    <w:rPr>
                      <w:rFonts w:ascii="Calibri" w:eastAsia="Times New Roman" w:hAnsi="Calibri" w:cs="Calibri"/>
                      <w:color w:val="000000"/>
                      <w:lang w:val="sr-Cyrl-RS"/>
                    </w:rPr>
                    <w:t xml:space="preserve"> </w:t>
                  </w:r>
                  <w:r w:rsidRPr="004436A7">
                    <w:rPr>
                      <w:rFonts w:ascii="Calibri" w:eastAsia="Times New Roman" w:hAnsi="Calibri" w:cs="Calibri"/>
                      <w:color w:val="000000"/>
                    </w:rPr>
                    <w:t>запослених и маса средстава за плате у 2023. години и то:</w:t>
                  </w:r>
                  <w:r w:rsidRPr="004436A7">
                    <w:rPr>
                      <w:rFonts w:ascii="Calibri" w:eastAsia="Times New Roman" w:hAnsi="Calibri" w:cs="Calibri"/>
                      <w:color w:val="000000"/>
                    </w:rPr>
                    <w:br/>
                    <w:t>Органи и службе локалне власти :</w:t>
                  </w:r>
                  <w:r w:rsidRPr="004436A7">
                    <w:rPr>
                      <w:rFonts w:ascii="Calibri" w:eastAsia="Times New Roman" w:hAnsi="Calibri" w:cs="Calibri"/>
                      <w:color w:val="000000"/>
                    </w:rPr>
                    <w:br/>
                  </w:r>
                  <w:r w:rsidRPr="004436A7">
                    <w:rPr>
                      <w:rFonts w:ascii="Calibri" w:eastAsia="Times New Roman" w:hAnsi="Calibri" w:cs="Calibri"/>
                      <w:color w:val="000000"/>
                    </w:rPr>
                    <w:lastRenderedPageBreak/>
                    <w:t>Изабрана лица 7</w:t>
                  </w:r>
                  <w:r w:rsidRPr="004436A7">
                    <w:rPr>
                      <w:rFonts w:ascii="Calibri" w:eastAsia="Times New Roman" w:hAnsi="Calibri" w:cs="Calibri"/>
                      <w:color w:val="000000"/>
                    </w:rPr>
                    <w:br/>
                    <w:t>Постављена лица 1</w:t>
                  </w:r>
                  <w:r w:rsidRPr="004436A7">
                    <w:rPr>
                      <w:rFonts w:ascii="Calibri" w:eastAsia="Times New Roman" w:hAnsi="Calibri" w:cs="Calibri"/>
                      <w:color w:val="000000"/>
                    </w:rPr>
                    <w:br/>
                    <w:t>Запослени 41</w:t>
                  </w:r>
                  <w:r w:rsidRPr="004436A7">
                    <w:rPr>
                      <w:rFonts w:ascii="Calibri" w:eastAsia="Times New Roman" w:hAnsi="Calibri" w:cs="Calibri"/>
                      <w:color w:val="000000"/>
                    </w:rPr>
                    <w:br/>
                    <w:t>Укупно 49    Маса средстава за исплату зарада 70,691,776.00</w:t>
                  </w: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18"/>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gridAfter w:val="1"/>
                <w:trHeight w:val="300"/>
              </w:trPr>
              <w:tc>
                <w:tcPr>
                  <w:tcW w:w="9060" w:type="dxa"/>
                  <w:gridSpan w:val="17"/>
                  <w:tcBorders>
                    <w:top w:val="nil"/>
                    <w:left w:val="nil"/>
                    <w:bottom w:val="nil"/>
                    <w:right w:val="nil"/>
                  </w:tcBorders>
                  <w:shd w:val="clear" w:color="auto" w:fill="auto"/>
                  <w:vAlign w:val="center"/>
                  <w:hideMark/>
                </w:tcPr>
                <w:p w:rsidR="004436A7" w:rsidRPr="004436A7" w:rsidRDefault="004436A7" w:rsidP="004436A7">
                  <w:pPr>
                    <w:spacing w:after="0" w:line="240" w:lineRule="auto"/>
                    <w:jc w:val="center"/>
                    <w:rPr>
                      <w:rFonts w:ascii="Calibri" w:eastAsia="Times New Roman" w:hAnsi="Calibri" w:cs="Calibri"/>
                      <w:color w:val="000000"/>
                    </w:rPr>
                  </w:pPr>
                  <w:r w:rsidRPr="004436A7">
                    <w:rPr>
                      <w:rFonts w:ascii="Calibri" w:eastAsia="Times New Roman" w:hAnsi="Calibri" w:cs="Calibri"/>
                      <w:color w:val="000000"/>
                    </w:rPr>
                    <w:t>Издаци за нефинансијску имовину</w:t>
                  </w:r>
                </w:p>
              </w:tc>
            </w:tr>
            <w:tr w:rsidR="004436A7" w:rsidRPr="004436A7" w:rsidTr="004436A7">
              <w:trPr>
                <w:gridAfter w:val="1"/>
                <w:trHeight w:val="300"/>
              </w:trPr>
              <w:tc>
                <w:tcPr>
                  <w:tcW w:w="960" w:type="dxa"/>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c>
                <w:tcPr>
                  <w:tcW w:w="960" w:type="dxa"/>
                  <w:gridSpan w:val="2"/>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c>
                <w:tcPr>
                  <w:tcW w:w="1060" w:type="dxa"/>
                  <w:gridSpan w:val="2"/>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c>
                <w:tcPr>
                  <w:tcW w:w="960" w:type="dxa"/>
                  <w:gridSpan w:val="2"/>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c>
                <w:tcPr>
                  <w:tcW w:w="960" w:type="dxa"/>
                  <w:gridSpan w:val="2"/>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c>
                <w:tcPr>
                  <w:tcW w:w="960" w:type="dxa"/>
                  <w:gridSpan w:val="2"/>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c>
                <w:tcPr>
                  <w:tcW w:w="1120" w:type="dxa"/>
                  <w:gridSpan w:val="2"/>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c>
                <w:tcPr>
                  <w:tcW w:w="960" w:type="dxa"/>
                  <w:gridSpan w:val="2"/>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c>
                <w:tcPr>
                  <w:tcW w:w="1120" w:type="dxa"/>
                  <w:gridSpan w:val="2"/>
                  <w:tcBorders>
                    <w:top w:val="nil"/>
                    <w:left w:val="nil"/>
                    <w:bottom w:val="nil"/>
                    <w:right w:val="nil"/>
                  </w:tcBorders>
                  <w:shd w:val="clear" w:color="auto" w:fill="auto"/>
                  <w:vAlign w:val="center"/>
                  <w:hideMark/>
                </w:tcPr>
                <w:p w:rsidR="004436A7" w:rsidRPr="004436A7" w:rsidRDefault="004436A7" w:rsidP="004436A7">
                  <w:pPr>
                    <w:spacing w:after="0" w:line="240" w:lineRule="auto"/>
                    <w:rPr>
                      <w:rFonts w:ascii="Times New Roman" w:eastAsia="Times New Roman" w:hAnsi="Times New Roman" w:cs="Times New Roman"/>
                      <w:i/>
                      <w:iCs/>
                      <w:color w:val="000000"/>
                      <w:sz w:val="16"/>
                      <w:szCs w:val="16"/>
                    </w:rPr>
                  </w:pPr>
                </w:p>
              </w:tc>
            </w:tr>
            <w:tr w:rsidR="004436A7" w:rsidRPr="004436A7" w:rsidTr="004436A7">
              <w:trPr>
                <w:gridAfter w:val="1"/>
                <w:trHeight w:val="300"/>
              </w:trPr>
              <w:tc>
                <w:tcPr>
                  <w:tcW w:w="9060" w:type="dxa"/>
                  <w:gridSpan w:val="17"/>
                  <w:vMerge w:val="restart"/>
                  <w:tcBorders>
                    <w:top w:val="nil"/>
                    <w:left w:val="nil"/>
                    <w:bottom w:val="nil"/>
                    <w:right w:val="nil"/>
                  </w:tcBorders>
                  <w:shd w:val="clear" w:color="auto" w:fill="auto"/>
                  <w:vAlign w:val="bottom"/>
                  <w:hideMark/>
                </w:tcPr>
                <w:p w:rsidR="004436A7" w:rsidRPr="004436A7" w:rsidRDefault="004436A7" w:rsidP="00F35AB3">
                  <w:pPr>
                    <w:spacing w:after="0" w:line="240" w:lineRule="auto"/>
                    <w:rPr>
                      <w:rFonts w:ascii="Calibri" w:eastAsia="Times New Roman" w:hAnsi="Calibri" w:cs="Calibri"/>
                      <w:color w:val="000000"/>
                    </w:rPr>
                  </w:pPr>
                  <w:r w:rsidRPr="004436A7">
                    <w:rPr>
                      <w:rFonts w:ascii="Calibri" w:eastAsia="Times New Roman" w:hAnsi="Calibri" w:cs="Calibri"/>
                      <w:color w:val="000000"/>
                    </w:rPr>
                    <w:t>Издаци за основна средства су 9,000,000.00 динара</w:t>
                  </w:r>
                  <w:r w:rsidRPr="004436A7">
                    <w:rPr>
                      <w:rFonts w:ascii="Calibri" w:eastAsia="Times New Roman" w:hAnsi="Calibri" w:cs="Calibri"/>
                      <w:color w:val="000000"/>
                    </w:rPr>
                    <w:br/>
                    <w:t>У оквиру издатака за нефинансијску имовину, планирана су средства за остале некретнине и опрему</w:t>
                  </w:r>
                  <w:r w:rsidR="00F35AB3">
                    <w:rPr>
                      <w:rFonts w:ascii="Calibri" w:eastAsia="Times New Roman" w:hAnsi="Calibri" w:cs="Calibri"/>
                      <w:color w:val="000000"/>
                      <w:lang w:val="sr-Cyrl-RS"/>
                    </w:rPr>
                    <w:t xml:space="preserve"> </w:t>
                  </w:r>
                  <w:proofErr w:type="gramStart"/>
                  <w:r w:rsidR="00F35AB3">
                    <w:rPr>
                      <w:rFonts w:ascii="Calibri" w:eastAsia="Times New Roman" w:hAnsi="Calibri" w:cs="Calibri"/>
                      <w:color w:val="000000"/>
                      <w:lang w:val="sr-Cyrl-RS"/>
                    </w:rPr>
                    <w:t xml:space="preserve">( </w:t>
                  </w:r>
                  <w:r w:rsidRPr="004436A7">
                    <w:rPr>
                      <w:rFonts w:ascii="Calibri" w:eastAsia="Times New Roman" w:hAnsi="Calibri" w:cs="Calibri"/>
                      <w:color w:val="000000"/>
                    </w:rPr>
                    <w:t xml:space="preserve"> ова</w:t>
                  </w:r>
                  <w:proofErr w:type="gramEnd"/>
                  <w:r w:rsidRPr="004436A7">
                    <w:rPr>
                      <w:rFonts w:ascii="Calibri" w:eastAsia="Times New Roman" w:hAnsi="Calibri" w:cs="Calibri"/>
                      <w:color w:val="000000"/>
                    </w:rPr>
                    <w:t xml:space="preserve"> средства односе се се набавку  нових подземних контејнера на територији Градске општине Палилула.</w:t>
                  </w:r>
                  <w:r w:rsidR="00F35AB3">
                    <w:rPr>
                      <w:rFonts w:ascii="Calibri" w:eastAsia="Times New Roman" w:hAnsi="Calibri" w:cs="Calibri"/>
                      <w:color w:val="000000"/>
                      <w:lang w:val="sr-Cyrl-RS"/>
                    </w:rPr>
                    <w:t>)</w:t>
                  </w:r>
                  <w:r w:rsidRPr="004436A7">
                    <w:rPr>
                      <w:rFonts w:ascii="Calibri" w:eastAsia="Times New Roman" w:hAnsi="Calibri" w:cs="Calibri"/>
                      <w:color w:val="000000"/>
                    </w:rPr>
                    <w:br/>
                    <w:t>Планирана су и средства за набавку машина и опреме код свих корисника буџета, а које су у функцији несметаног обављања основне делатности</w:t>
                  </w:r>
                </w:p>
              </w:tc>
            </w:tr>
            <w:tr w:rsidR="004436A7" w:rsidRPr="004436A7" w:rsidTr="004436A7">
              <w:trPr>
                <w:gridAfter w:val="1"/>
                <w:trHeight w:val="300"/>
              </w:trPr>
              <w:tc>
                <w:tcPr>
                  <w:tcW w:w="9060" w:type="dxa"/>
                  <w:gridSpan w:val="17"/>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gridAfter w:val="1"/>
                <w:trHeight w:val="300"/>
              </w:trPr>
              <w:tc>
                <w:tcPr>
                  <w:tcW w:w="9060" w:type="dxa"/>
                  <w:gridSpan w:val="17"/>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gridAfter w:val="1"/>
                <w:trHeight w:val="300"/>
              </w:trPr>
              <w:tc>
                <w:tcPr>
                  <w:tcW w:w="9060" w:type="dxa"/>
                  <w:gridSpan w:val="17"/>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gridAfter w:val="1"/>
                <w:trHeight w:val="300"/>
              </w:trPr>
              <w:tc>
                <w:tcPr>
                  <w:tcW w:w="9060" w:type="dxa"/>
                  <w:gridSpan w:val="17"/>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gridAfter w:val="1"/>
                <w:trHeight w:val="300"/>
              </w:trPr>
              <w:tc>
                <w:tcPr>
                  <w:tcW w:w="9060" w:type="dxa"/>
                  <w:gridSpan w:val="17"/>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gridAfter w:val="1"/>
                <w:trHeight w:val="269"/>
              </w:trPr>
              <w:tc>
                <w:tcPr>
                  <w:tcW w:w="9060" w:type="dxa"/>
                  <w:gridSpan w:val="17"/>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bl>
          <w:p w:rsidR="004436A7" w:rsidRDefault="004436A7" w:rsidP="004436A7">
            <w:pPr>
              <w:spacing w:after="0" w:line="240" w:lineRule="auto"/>
              <w:jc w:val="both"/>
              <w:rPr>
                <w:rFonts w:ascii="Calibri" w:eastAsia="Times New Roman" w:hAnsi="Calibri" w:cs="Calibri"/>
                <w:color w:val="000000"/>
              </w:rPr>
            </w:pPr>
          </w:p>
          <w:tbl>
            <w:tblPr>
              <w:tblW w:w="9076" w:type="dxa"/>
              <w:tblLook w:val="04A0" w:firstRow="1" w:lastRow="0" w:firstColumn="1" w:lastColumn="0" w:noHBand="0" w:noVBand="1"/>
            </w:tblPr>
            <w:tblGrid>
              <w:gridCol w:w="1009"/>
              <w:gridCol w:w="1009"/>
              <w:gridCol w:w="1009"/>
              <w:gridCol w:w="1009"/>
              <w:gridCol w:w="1008"/>
              <w:gridCol w:w="1008"/>
              <w:gridCol w:w="1008"/>
              <w:gridCol w:w="1008"/>
              <w:gridCol w:w="1008"/>
            </w:tblGrid>
            <w:tr w:rsidR="004436A7" w:rsidRPr="004436A7" w:rsidTr="004436A7">
              <w:trPr>
                <w:trHeight w:val="315"/>
              </w:trPr>
              <w:tc>
                <w:tcPr>
                  <w:tcW w:w="9076" w:type="dxa"/>
                  <w:gridSpan w:val="9"/>
                  <w:tcBorders>
                    <w:top w:val="nil"/>
                    <w:left w:val="nil"/>
                    <w:bottom w:val="nil"/>
                    <w:right w:val="nil"/>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СТРУКТУРА РАСХОДА ПО КОРИСНИЦИМА</w:t>
                  </w:r>
                </w:p>
              </w:tc>
            </w:tr>
            <w:tr w:rsidR="004436A7" w:rsidRPr="004436A7" w:rsidTr="004436A7">
              <w:trPr>
                <w:trHeight w:val="300"/>
              </w:trPr>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30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Назив директног корисника</w:t>
                  </w:r>
                </w:p>
              </w:tc>
              <w:tc>
                <w:tcPr>
                  <w:tcW w:w="403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 xml:space="preserve">Средства </w:t>
                  </w:r>
                  <w:proofErr w:type="gramStart"/>
                  <w:r w:rsidRPr="004436A7">
                    <w:rPr>
                      <w:rFonts w:ascii="Calibri" w:eastAsia="Times New Roman" w:hAnsi="Calibri" w:cs="Calibri"/>
                      <w:color w:val="000000"/>
                      <w:sz w:val="24"/>
                      <w:szCs w:val="24"/>
                    </w:rPr>
                    <w:t>из  Одлуке</w:t>
                  </w:r>
                  <w:proofErr w:type="gramEnd"/>
                  <w:r w:rsidRPr="004436A7">
                    <w:rPr>
                      <w:rFonts w:ascii="Calibri" w:eastAsia="Times New Roman" w:hAnsi="Calibri" w:cs="Calibri"/>
                      <w:color w:val="000000"/>
                      <w:sz w:val="24"/>
                      <w:szCs w:val="24"/>
                    </w:rPr>
                    <w:t xml:space="preserve"> о буџету за 2023. годину  (износ у динарима)</w:t>
                  </w:r>
                </w:p>
              </w:tc>
              <w:tc>
                <w:tcPr>
                  <w:tcW w:w="20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 буџета по</w:t>
                  </w:r>
                  <w:r w:rsidRPr="004436A7">
                    <w:rPr>
                      <w:rFonts w:ascii="Calibri" w:eastAsia="Times New Roman" w:hAnsi="Calibri" w:cs="Calibri"/>
                      <w:color w:val="000000"/>
                      <w:sz w:val="24"/>
                      <w:szCs w:val="24"/>
                    </w:rPr>
                    <w:br/>
                    <w:t>кориснику</w:t>
                  </w:r>
                </w:p>
              </w:tc>
            </w:tr>
            <w:tr w:rsidR="004436A7" w:rsidRPr="004436A7" w:rsidTr="004436A7">
              <w:trPr>
                <w:trHeight w:val="330"/>
              </w:trPr>
              <w:tc>
                <w:tcPr>
                  <w:tcW w:w="3027" w:type="dxa"/>
                  <w:gridSpan w:val="3"/>
                  <w:vMerge/>
                  <w:tcBorders>
                    <w:top w:val="single" w:sz="4" w:space="0" w:color="000000"/>
                    <w:left w:val="single" w:sz="4" w:space="0" w:color="000000"/>
                    <w:bottom w:val="single" w:sz="4" w:space="0" w:color="000000"/>
                    <w:right w:val="single" w:sz="4" w:space="0" w:color="000000"/>
                  </w:tcBorders>
                  <w:vAlign w:val="center"/>
                  <w:hideMark/>
                </w:tcPr>
                <w:p w:rsidR="004436A7" w:rsidRPr="004436A7" w:rsidRDefault="004436A7" w:rsidP="004436A7">
                  <w:pPr>
                    <w:spacing w:after="0" w:line="240" w:lineRule="auto"/>
                    <w:rPr>
                      <w:rFonts w:ascii="Calibri" w:eastAsia="Times New Roman" w:hAnsi="Calibri" w:cs="Calibri"/>
                      <w:color w:val="000000"/>
                      <w:sz w:val="24"/>
                      <w:szCs w:val="24"/>
                    </w:rPr>
                  </w:pPr>
                </w:p>
              </w:tc>
              <w:tc>
                <w:tcPr>
                  <w:tcW w:w="4033" w:type="dxa"/>
                  <w:gridSpan w:val="4"/>
                  <w:vMerge/>
                  <w:tcBorders>
                    <w:top w:val="single" w:sz="4" w:space="0" w:color="000000"/>
                    <w:left w:val="single" w:sz="4" w:space="0" w:color="000000"/>
                    <w:bottom w:val="single" w:sz="4" w:space="0" w:color="000000"/>
                    <w:right w:val="single" w:sz="4" w:space="0" w:color="000000"/>
                  </w:tcBorders>
                  <w:vAlign w:val="center"/>
                  <w:hideMark/>
                </w:tcPr>
                <w:p w:rsidR="004436A7" w:rsidRPr="004436A7" w:rsidRDefault="004436A7" w:rsidP="004436A7">
                  <w:pPr>
                    <w:spacing w:after="0" w:line="240" w:lineRule="auto"/>
                    <w:rPr>
                      <w:rFonts w:ascii="Calibri" w:eastAsia="Times New Roman" w:hAnsi="Calibri" w:cs="Calibri"/>
                      <w:color w:val="000000"/>
                      <w:sz w:val="24"/>
                      <w:szCs w:val="24"/>
                    </w:rPr>
                  </w:pPr>
                </w:p>
              </w:tc>
              <w:tc>
                <w:tcPr>
                  <w:tcW w:w="2016" w:type="dxa"/>
                  <w:gridSpan w:val="2"/>
                  <w:vMerge/>
                  <w:tcBorders>
                    <w:top w:val="single" w:sz="4" w:space="0" w:color="000000"/>
                    <w:left w:val="single" w:sz="4" w:space="0" w:color="000000"/>
                    <w:bottom w:val="single" w:sz="4" w:space="0" w:color="000000"/>
                    <w:right w:val="single" w:sz="4" w:space="0" w:color="000000"/>
                  </w:tcBorders>
                  <w:vAlign w:val="center"/>
                  <w:hideMark/>
                </w:tcPr>
                <w:p w:rsidR="004436A7" w:rsidRPr="004436A7" w:rsidRDefault="004436A7" w:rsidP="004436A7">
                  <w:pPr>
                    <w:spacing w:after="0" w:line="240" w:lineRule="auto"/>
                    <w:rPr>
                      <w:rFonts w:ascii="Calibri" w:eastAsia="Times New Roman" w:hAnsi="Calibri" w:cs="Calibri"/>
                      <w:color w:val="000000"/>
                      <w:sz w:val="24"/>
                      <w:szCs w:val="24"/>
                    </w:rPr>
                  </w:pPr>
                </w:p>
              </w:tc>
            </w:tr>
            <w:tr w:rsidR="004436A7" w:rsidRPr="004436A7" w:rsidTr="004436A7">
              <w:trPr>
                <w:trHeight w:val="315"/>
              </w:trPr>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Скупштина општине</w:t>
                  </w:r>
                </w:p>
              </w:tc>
              <w:tc>
                <w:tcPr>
                  <w:tcW w:w="4033"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25,154,450.00</w:t>
                  </w:r>
                </w:p>
              </w:tc>
              <w:tc>
                <w:tcPr>
                  <w:tcW w:w="201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15.21%</w:t>
                  </w:r>
                </w:p>
              </w:tc>
            </w:tr>
            <w:tr w:rsidR="004436A7" w:rsidRPr="004436A7" w:rsidTr="004436A7">
              <w:trPr>
                <w:trHeight w:val="315"/>
              </w:trPr>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Председник општине</w:t>
                  </w:r>
                </w:p>
              </w:tc>
              <w:tc>
                <w:tcPr>
                  <w:tcW w:w="4033"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17,859,450.00</w:t>
                  </w:r>
                </w:p>
              </w:tc>
              <w:tc>
                <w:tcPr>
                  <w:tcW w:w="201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10.80%</w:t>
                  </w:r>
                </w:p>
              </w:tc>
            </w:tr>
            <w:tr w:rsidR="004436A7" w:rsidRPr="004436A7" w:rsidTr="004436A7">
              <w:trPr>
                <w:trHeight w:val="315"/>
              </w:trPr>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Општинско веће</w:t>
                  </w:r>
                </w:p>
              </w:tc>
              <w:tc>
                <w:tcPr>
                  <w:tcW w:w="4033"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11,336,700.00</w:t>
                  </w:r>
                </w:p>
              </w:tc>
              <w:tc>
                <w:tcPr>
                  <w:tcW w:w="201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F35AB3" w:rsidP="004436A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lang w:val="sr-Cyrl-RS"/>
                    </w:rPr>
                    <w:t xml:space="preserve">  </w:t>
                  </w:r>
                  <w:r w:rsidR="004436A7" w:rsidRPr="004436A7">
                    <w:rPr>
                      <w:rFonts w:ascii="Calibri" w:eastAsia="Times New Roman" w:hAnsi="Calibri" w:cs="Calibri"/>
                      <w:color w:val="000000"/>
                      <w:sz w:val="24"/>
                      <w:szCs w:val="24"/>
                    </w:rPr>
                    <w:t>6.85%</w:t>
                  </w:r>
                </w:p>
              </w:tc>
            </w:tr>
            <w:tr w:rsidR="004436A7" w:rsidRPr="004436A7" w:rsidTr="004436A7">
              <w:trPr>
                <w:trHeight w:val="315"/>
              </w:trPr>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Општинска управа</w:t>
                  </w:r>
                </w:p>
              </w:tc>
              <w:tc>
                <w:tcPr>
                  <w:tcW w:w="4033"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111,067,400.00</w:t>
                  </w:r>
                </w:p>
              </w:tc>
              <w:tc>
                <w:tcPr>
                  <w:tcW w:w="201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67.14%</w:t>
                  </w:r>
                </w:p>
              </w:tc>
            </w:tr>
            <w:tr w:rsidR="004436A7" w:rsidRPr="004436A7" w:rsidTr="004436A7">
              <w:trPr>
                <w:trHeight w:val="315"/>
              </w:trPr>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УКУПНО:</w:t>
                  </w:r>
                </w:p>
              </w:tc>
              <w:tc>
                <w:tcPr>
                  <w:tcW w:w="4033"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165,418,000.00</w:t>
                  </w:r>
                </w:p>
              </w:tc>
              <w:tc>
                <w:tcPr>
                  <w:tcW w:w="201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sz w:val="24"/>
                      <w:szCs w:val="24"/>
                    </w:rPr>
                  </w:pPr>
                  <w:r w:rsidRPr="004436A7">
                    <w:rPr>
                      <w:rFonts w:ascii="Calibri" w:eastAsia="Times New Roman" w:hAnsi="Calibri" w:cs="Calibri"/>
                      <w:color w:val="000000"/>
                      <w:sz w:val="24"/>
                      <w:szCs w:val="24"/>
                    </w:rPr>
                    <w:t>100.00%</w:t>
                  </w:r>
                </w:p>
              </w:tc>
            </w:tr>
          </w:tbl>
          <w:p w:rsidR="004436A7" w:rsidRDefault="004436A7" w:rsidP="004436A7">
            <w:pPr>
              <w:spacing w:after="0" w:line="240" w:lineRule="auto"/>
              <w:jc w:val="both"/>
              <w:rPr>
                <w:rFonts w:ascii="Calibri" w:eastAsia="Times New Roman" w:hAnsi="Calibri" w:cs="Calibri"/>
                <w:color w:val="000000"/>
              </w:rPr>
            </w:pPr>
          </w:p>
          <w:tbl>
            <w:tblPr>
              <w:tblW w:w="9076" w:type="dxa"/>
              <w:tblLook w:val="04A0" w:firstRow="1" w:lastRow="0" w:firstColumn="1" w:lastColumn="0" w:noHBand="0" w:noVBand="1"/>
            </w:tblPr>
            <w:tblGrid>
              <w:gridCol w:w="1009"/>
              <w:gridCol w:w="1009"/>
              <w:gridCol w:w="1009"/>
              <w:gridCol w:w="1009"/>
              <w:gridCol w:w="1008"/>
              <w:gridCol w:w="1008"/>
              <w:gridCol w:w="1008"/>
              <w:gridCol w:w="1008"/>
              <w:gridCol w:w="1008"/>
            </w:tblGrid>
            <w:tr w:rsidR="004436A7" w:rsidRPr="004436A7" w:rsidTr="004436A7">
              <w:trPr>
                <w:trHeight w:val="300"/>
              </w:trPr>
              <w:tc>
                <w:tcPr>
                  <w:tcW w:w="9076" w:type="dxa"/>
                  <w:gridSpan w:val="9"/>
                  <w:tcBorders>
                    <w:top w:val="nil"/>
                    <w:left w:val="nil"/>
                    <w:bottom w:val="nil"/>
                    <w:right w:val="nil"/>
                  </w:tcBorders>
                  <w:shd w:val="clear" w:color="auto" w:fill="auto"/>
                  <w:noWrap/>
                  <w:vAlign w:val="bottom"/>
                  <w:hideMark/>
                </w:tcPr>
                <w:p w:rsidR="004436A7" w:rsidRPr="004436A7" w:rsidRDefault="004436A7" w:rsidP="004436A7">
                  <w:pPr>
                    <w:spacing w:after="0" w:line="240" w:lineRule="auto"/>
                    <w:jc w:val="center"/>
                    <w:rPr>
                      <w:rFonts w:ascii="Calibri" w:eastAsia="Times New Roman" w:hAnsi="Calibri" w:cs="Calibri"/>
                      <w:color w:val="000000"/>
                    </w:rPr>
                  </w:pPr>
                  <w:r w:rsidRPr="004436A7">
                    <w:rPr>
                      <w:rFonts w:ascii="Calibri" w:eastAsia="Times New Roman" w:hAnsi="Calibri" w:cs="Calibri"/>
                      <w:color w:val="000000"/>
                    </w:rPr>
                    <w:t>Текући расходи</w:t>
                  </w:r>
                </w:p>
              </w:tc>
            </w:tr>
            <w:tr w:rsidR="004436A7" w:rsidRPr="004436A7" w:rsidTr="004436A7">
              <w:trPr>
                <w:trHeight w:val="300"/>
              </w:trPr>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9"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c>
                <w:tcPr>
                  <w:tcW w:w="1008" w:type="dxa"/>
                  <w:tcBorders>
                    <w:top w:val="nil"/>
                    <w:left w:val="nil"/>
                    <w:bottom w:val="nil"/>
                    <w:right w:val="nil"/>
                  </w:tcBorders>
                  <w:shd w:val="clear" w:color="auto" w:fill="auto"/>
                  <w:noWrap/>
                  <w:vAlign w:val="bottom"/>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val="restart"/>
                  <w:tcBorders>
                    <w:top w:val="nil"/>
                    <w:left w:val="nil"/>
                    <w:bottom w:val="nil"/>
                    <w:right w:val="nil"/>
                  </w:tcBorders>
                  <w:shd w:val="clear" w:color="auto" w:fill="auto"/>
                  <w:vAlign w:val="bottom"/>
                  <w:hideMark/>
                </w:tcPr>
                <w:p w:rsidR="004436A7" w:rsidRPr="004436A7" w:rsidRDefault="004436A7" w:rsidP="004436A7">
                  <w:pPr>
                    <w:spacing w:after="0" w:line="240" w:lineRule="auto"/>
                    <w:jc w:val="both"/>
                    <w:rPr>
                      <w:rFonts w:ascii="Calibri" w:eastAsia="Times New Roman" w:hAnsi="Calibri" w:cs="Calibri"/>
                      <w:color w:val="000000"/>
                    </w:rPr>
                  </w:pPr>
                  <w:r w:rsidRPr="004436A7">
                    <w:rPr>
                      <w:rFonts w:ascii="Calibri" w:eastAsia="Times New Roman" w:hAnsi="Calibri" w:cs="Calibri"/>
                      <w:color w:val="000000"/>
                    </w:rPr>
                    <w:t>Највећи износ планираних расхода и издатака односи се на расходе за запослене у износу од</w:t>
                  </w:r>
                  <w:r w:rsidRPr="004436A7">
                    <w:rPr>
                      <w:rFonts w:ascii="Calibri" w:eastAsia="Times New Roman" w:hAnsi="Calibri" w:cs="Calibri"/>
                      <w:color w:val="000000"/>
                    </w:rPr>
                    <w:br/>
                    <w:t xml:space="preserve">75,113,000.00 динара, што је 45,35 % укупно планираних расхода и издатака за 2023. </w:t>
                  </w:r>
                  <w:proofErr w:type="gramStart"/>
                  <w:r w:rsidRPr="004436A7">
                    <w:rPr>
                      <w:rFonts w:ascii="Calibri" w:eastAsia="Times New Roman" w:hAnsi="Calibri" w:cs="Calibri"/>
                      <w:color w:val="000000"/>
                    </w:rPr>
                    <w:t>годину</w:t>
                  </w:r>
                  <w:proofErr w:type="gramEnd"/>
                  <w:r w:rsidRPr="004436A7">
                    <w:rPr>
                      <w:rFonts w:ascii="Calibri" w:eastAsia="Times New Roman" w:hAnsi="Calibri" w:cs="Calibri"/>
                      <w:color w:val="000000"/>
                    </w:rPr>
                    <w:t>.</w:t>
                  </w:r>
                  <w:r w:rsidRPr="004436A7">
                    <w:rPr>
                      <w:rFonts w:ascii="Calibri" w:eastAsia="Times New Roman" w:hAnsi="Calibri" w:cs="Calibri"/>
                      <w:color w:val="000000"/>
                    </w:rPr>
                    <w:br/>
                    <w:t>Они подразумевају плате, додатке и накнаде запослених (зараде), социјалне допринсе на терет послодавца, социјална давања запосленима, накнаде трошкова за запослене и награде</w:t>
                  </w:r>
                  <w:r w:rsidRPr="004436A7">
                    <w:rPr>
                      <w:rFonts w:ascii="Calibri" w:eastAsia="Times New Roman" w:hAnsi="Calibri" w:cs="Calibri"/>
                      <w:color w:val="000000"/>
                    </w:rPr>
                    <w:br/>
                    <w:t>запосленима и остале посебне расходе.</w:t>
                  </w: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269"/>
              </w:trPr>
              <w:tc>
                <w:tcPr>
                  <w:tcW w:w="9076" w:type="dxa"/>
                  <w:gridSpan w:val="9"/>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bl>
          <w:p w:rsidR="004436A7" w:rsidRDefault="004436A7" w:rsidP="004436A7">
            <w:pPr>
              <w:spacing w:after="0" w:line="240" w:lineRule="auto"/>
              <w:jc w:val="both"/>
              <w:rPr>
                <w:rFonts w:ascii="Calibri" w:eastAsia="Times New Roman" w:hAnsi="Calibri" w:cs="Calibri"/>
                <w:color w:val="000000"/>
              </w:rPr>
            </w:pPr>
          </w:p>
          <w:tbl>
            <w:tblPr>
              <w:tblW w:w="9076" w:type="dxa"/>
              <w:tblLook w:val="04A0" w:firstRow="1" w:lastRow="0" w:firstColumn="1" w:lastColumn="0" w:noHBand="0" w:noVBand="1"/>
            </w:tblPr>
            <w:tblGrid>
              <w:gridCol w:w="9252"/>
            </w:tblGrid>
            <w:tr w:rsidR="004436A7" w:rsidRPr="004436A7" w:rsidTr="004436A7">
              <w:trPr>
                <w:trHeight w:val="300"/>
              </w:trPr>
              <w:tc>
                <w:tcPr>
                  <w:tcW w:w="9076" w:type="dxa"/>
                  <w:tcBorders>
                    <w:top w:val="nil"/>
                    <w:left w:val="nil"/>
                    <w:bottom w:val="nil"/>
                    <w:right w:val="nil"/>
                  </w:tcBorders>
                  <w:shd w:val="clear" w:color="auto" w:fill="auto"/>
                  <w:noWrap/>
                  <w:vAlign w:val="bottom"/>
                  <w:hideMark/>
                </w:tcPr>
                <w:p w:rsidR="004436A7" w:rsidRPr="004436A7" w:rsidRDefault="004436A7" w:rsidP="00B31BE5">
                  <w:pPr>
                    <w:spacing w:after="0" w:line="240" w:lineRule="auto"/>
                    <w:rPr>
                      <w:rFonts w:ascii="Calibri" w:eastAsia="Times New Roman" w:hAnsi="Calibri" w:cs="Calibri"/>
                      <w:color w:val="000000"/>
                      <w:u w:val="single"/>
                    </w:rPr>
                  </w:pPr>
                  <w:r w:rsidRPr="004436A7">
                    <w:rPr>
                      <w:rFonts w:ascii="Calibri" w:eastAsia="Times New Roman" w:hAnsi="Calibri" w:cs="Calibri"/>
                      <w:color w:val="000000"/>
                      <w:u w:val="single"/>
                    </w:rPr>
                    <w:t>Плате, додаци и накнаде запослених</w:t>
                  </w:r>
                  <w:r w:rsidRPr="004436A7">
                    <w:rPr>
                      <w:rFonts w:ascii="Calibri" w:eastAsia="Times New Roman" w:hAnsi="Calibri" w:cs="Calibri"/>
                      <w:color w:val="000000"/>
                    </w:rPr>
                    <w:t xml:space="preserve"> (зараде) планиране су у износу од 60,601,000.00 динара.</w:t>
                  </w:r>
                </w:p>
              </w:tc>
            </w:tr>
            <w:tr w:rsidR="004436A7" w:rsidRPr="004436A7" w:rsidTr="004436A7">
              <w:trPr>
                <w:trHeight w:val="464"/>
              </w:trPr>
              <w:tc>
                <w:tcPr>
                  <w:tcW w:w="9076" w:type="dxa"/>
                  <w:vMerge w:val="restart"/>
                  <w:tcBorders>
                    <w:top w:val="nil"/>
                    <w:left w:val="nil"/>
                    <w:bottom w:val="nil"/>
                    <w:right w:val="nil"/>
                  </w:tcBorders>
                  <w:shd w:val="clear" w:color="auto" w:fill="auto"/>
                  <w:vAlign w:val="bottom"/>
                  <w:hideMark/>
                </w:tcPr>
                <w:p w:rsidR="00F35AB3" w:rsidRDefault="00F35AB3" w:rsidP="004436A7">
                  <w:pPr>
                    <w:spacing w:after="0" w:line="240" w:lineRule="auto"/>
                    <w:jc w:val="both"/>
                    <w:rPr>
                      <w:rFonts w:ascii="Calibri" w:eastAsia="Times New Roman" w:hAnsi="Calibri" w:cs="Calibri"/>
                      <w:color w:val="000000"/>
                      <w:lang w:val="sr-Cyrl-RS"/>
                    </w:rPr>
                  </w:pPr>
                  <w:r>
                    <w:rPr>
                      <w:rFonts w:ascii="Calibri" w:eastAsia="Times New Roman" w:hAnsi="Calibri" w:cs="Calibri"/>
                      <w:color w:val="000000"/>
                      <w:lang w:val="sr-Cyrl-RS"/>
                    </w:rPr>
                    <w:t>Социјални доприноси на терет послодавца планирани су у износу од 9,787,000 динара, за исплату доприноса за пензијско и инвалидско осигурање и здравствено осигурање по збирној стопи од 16,65%.</w:t>
                  </w:r>
                </w:p>
                <w:p w:rsidR="00F35AB3" w:rsidRDefault="00F35AB3" w:rsidP="004436A7">
                  <w:pPr>
                    <w:spacing w:after="0" w:line="240" w:lineRule="auto"/>
                    <w:jc w:val="both"/>
                    <w:rPr>
                      <w:rFonts w:ascii="Calibri" w:eastAsia="Times New Roman" w:hAnsi="Calibri" w:cs="Calibri"/>
                      <w:color w:val="000000"/>
                      <w:lang w:val="sr-Cyrl-RS"/>
                    </w:rPr>
                  </w:pPr>
                </w:p>
                <w:p w:rsidR="00F35AB3" w:rsidRDefault="00F35AB3" w:rsidP="004436A7">
                  <w:pPr>
                    <w:spacing w:after="0" w:line="240" w:lineRule="auto"/>
                    <w:jc w:val="both"/>
                    <w:rPr>
                      <w:rFonts w:ascii="Calibri" w:eastAsia="Times New Roman" w:hAnsi="Calibri" w:cs="Calibri"/>
                      <w:color w:val="000000"/>
                      <w:lang w:val="sr-Cyrl-RS"/>
                    </w:rPr>
                  </w:pPr>
                </w:p>
                <w:p w:rsidR="00F35AB3" w:rsidRDefault="00F35AB3" w:rsidP="004436A7">
                  <w:pPr>
                    <w:spacing w:after="0" w:line="240" w:lineRule="auto"/>
                    <w:jc w:val="both"/>
                    <w:rPr>
                      <w:rFonts w:ascii="Calibri" w:eastAsia="Times New Roman" w:hAnsi="Calibri" w:cs="Calibri"/>
                      <w:color w:val="000000"/>
                      <w:lang w:val="sr-Cyrl-RS"/>
                    </w:rPr>
                  </w:pPr>
                </w:p>
                <w:p w:rsidR="004436A7" w:rsidRDefault="004436A7" w:rsidP="004436A7">
                  <w:pPr>
                    <w:spacing w:after="0" w:line="240" w:lineRule="auto"/>
                    <w:jc w:val="both"/>
                    <w:rPr>
                      <w:rFonts w:ascii="Calibri" w:eastAsia="Times New Roman" w:hAnsi="Calibri" w:cs="Calibri"/>
                      <w:color w:val="000000"/>
                    </w:rPr>
                  </w:pPr>
                </w:p>
                <w:tbl>
                  <w:tblPr>
                    <w:tblW w:w="9060" w:type="dxa"/>
                    <w:tblLook w:val="04A0" w:firstRow="1" w:lastRow="0" w:firstColumn="1" w:lastColumn="0" w:noHBand="0" w:noVBand="1"/>
                  </w:tblPr>
                  <w:tblGrid>
                    <w:gridCol w:w="958"/>
                    <w:gridCol w:w="958"/>
                    <w:gridCol w:w="1058"/>
                    <w:gridCol w:w="957"/>
                    <w:gridCol w:w="957"/>
                    <w:gridCol w:w="957"/>
                    <w:gridCol w:w="1117"/>
                    <w:gridCol w:w="957"/>
                    <w:gridCol w:w="1117"/>
                  </w:tblGrid>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u w:val="single"/>
                          </w:rPr>
                        </w:pPr>
                        <w:r w:rsidRPr="00B31BE5">
                          <w:rPr>
                            <w:rFonts w:ascii="Calibri" w:eastAsia="Times New Roman" w:hAnsi="Calibri" w:cs="Calibri"/>
                            <w:color w:val="000000"/>
                            <w:u w:val="single"/>
                          </w:rPr>
                          <w:t>Социјална давања запосленима</w:t>
                        </w:r>
                        <w:r w:rsidRPr="00B31BE5">
                          <w:rPr>
                            <w:rFonts w:ascii="Calibri" w:eastAsia="Times New Roman" w:hAnsi="Calibri" w:cs="Calibri"/>
                            <w:color w:val="000000"/>
                          </w:rPr>
                          <w:t xml:space="preserve"> планирана су у износу од 2,50</w:t>
                        </w:r>
                        <w:r w:rsidR="00F35AB3">
                          <w:rPr>
                            <w:rFonts w:ascii="Calibri" w:eastAsia="Times New Roman" w:hAnsi="Calibri" w:cs="Calibri"/>
                            <w:color w:val="000000"/>
                          </w:rPr>
                          <w:t xml:space="preserve">0,000.00 динара, и користиће </w:t>
                        </w:r>
                        <w:r w:rsidR="00F35AB3">
                          <w:rPr>
                            <w:rFonts w:ascii="Calibri" w:eastAsia="Times New Roman" w:hAnsi="Calibri" w:cs="Calibri"/>
                            <w:color w:val="000000"/>
                          </w:rPr>
                          <w:lastRenderedPageBreak/>
                          <w:t>се</w:t>
                        </w:r>
                        <w:r w:rsidR="00F35AB3">
                          <w:rPr>
                            <w:rFonts w:ascii="Calibri" w:eastAsia="Times New Roman" w:hAnsi="Calibri" w:cs="Calibri"/>
                            <w:color w:val="000000"/>
                            <w:lang w:val="sr-Cyrl-RS"/>
                          </w:rPr>
                          <w:t xml:space="preserve"> </w:t>
                        </w:r>
                        <w:r w:rsidRPr="00B31BE5">
                          <w:rPr>
                            <w:rFonts w:ascii="Calibri" w:eastAsia="Times New Roman" w:hAnsi="Calibri" w:cs="Calibri"/>
                            <w:color w:val="000000"/>
                          </w:rPr>
                          <w:t>за исплату накнада за време одсуствовања с пос</w:t>
                        </w:r>
                        <w:r w:rsidR="00F35AB3">
                          <w:rPr>
                            <w:rFonts w:ascii="Calibri" w:eastAsia="Times New Roman" w:hAnsi="Calibri" w:cs="Calibri"/>
                            <w:color w:val="000000"/>
                          </w:rPr>
                          <w:t>ла на терет фондова (породиљско</w:t>
                        </w:r>
                        <w:r w:rsidR="00F35AB3">
                          <w:rPr>
                            <w:rFonts w:ascii="Calibri" w:eastAsia="Times New Roman" w:hAnsi="Calibri" w:cs="Calibri"/>
                            <w:color w:val="000000"/>
                            <w:lang w:val="sr-Cyrl-RS"/>
                          </w:rPr>
                          <w:t xml:space="preserve"> </w:t>
                        </w:r>
                        <w:r w:rsidR="00F35AB3">
                          <w:rPr>
                            <w:rFonts w:ascii="Calibri" w:eastAsia="Times New Roman" w:hAnsi="Calibri" w:cs="Calibri"/>
                            <w:color w:val="000000"/>
                          </w:rPr>
                          <w:t>боловање</w:t>
                        </w:r>
                        <w:r w:rsidR="00F35AB3">
                          <w:rPr>
                            <w:rFonts w:ascii="Calibri" w:eastAsia="Times New Roman" w:hAnsi="Calibri" w:cs="Calibri"/>
                            <w:color w:val="000000"/>
                            <w:lang w:val="sr-Cyrl-RS"/>
                          </w:rPr>
                          <w:t xml:space="preserve"> </w:t>
                        </w:r>
                        <w:r w:rsidRPr="00B31BE5">
                          <w:rPr>
                            <w:rFonts w:ascii="Calibri" w:eastAsia="Times New Roman" w:hAnsi="Calibri" w:cs="Calibri"/>
                            <w:color w:val="000000"/>
                          </w:rPr>
                          <w:t>и боловање преко 30 дана), отпремнине и помоћи, као и помоћ у медицинском лечењу запосленог или чланова уже породице и друге помоћи запосленом.</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u w:val="single"/>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u w:val="single"/>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u w:val="single"/>
                          </w:rPr>
                        </w:pPr>
                      </w:p>
                    </w:tc>
                  </w:tr>
                  <w:tr w:rsidR="00B31BE5" w:rsidRPr="00B31BE5" w:rsidTr="00B31BE5">
                    <w:trPr>
                      <w:trHeight w:val="645"/>
                    </w:trPr>
                    <w:tc>
                      <w:tcPr>
                        <w:tcW w:w="9060" w:type="dxa"/>
                        <w:gridSpan w:val="9"/>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u w:val="single"/>
                          </w:rPr>
                        </w:pPr>
                        <w:r w:rsidRPr="00B31BE5">
                          <w:rPr>
                            <w:rFonts w:ascii="Calibri" w:eastAsia="Times New Roman" w:hAnsi="Calibri" w:cs="Calibri"/>
                            <w:color w:val="000000"/>
                            <w:u w:val="single"/>
                          </w:rPr>
                          <w:t>Накнаде трошкова за запослене</w:t>
                        </w:r>
                        <w:r w:rsidRPr="00B31BE5">
                          <w:rPr>
                            <w:rFonts w:ascii="Calibri" w:eastAsia="Times New Roman" w:hAnsi="Calibri" w:cs="Calibri"/>
                            <w:color w:val="000000"/>
                          </w:rPr>
                          <w:t xml:space="preserve"> планирана су у износу од 1,725,000.00 динара, за исплату накнада запосленима за превоз на посао и са посла.</w:t>
                        </w: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u w:val="single"/>
                          </w:rPr>
                        </w:pPr>
                        <w:r w:rsidRPr="00B31BE5">
                          <w:rPr>
                            <w:rFonts w:ascii="Calibri" w:eastAsia="Times New Roman" w:hAnsi="Calibri" w:cs="Calibri"/>
                            <w:color w:val="000000"/>
                            <w:u w:val="single"/>
                          </w:rPr>
                          <w:t>Награде запосленима и остали посебни расходи</w:t>
                        </w:r>
                        <w:r w:rsidRPr="00B31BE5">
                          <w:rPr>
                            <w:rFonts w:ascii="Calibri" w:eastAsia="Times New Roman" w:hAnsi="Calibri" w:cs="Calibri"/>
                            <w:color w:val="000000"/>
                          </w:rPr>
                          <w:t xml:space="preserve"> планирани су у износу од 500.000,00 динара на име исплате јубиларних награда запосленима који то право стичу у 2023. </w:t>
                        </w:r>
                        <w:proofErr w:type="gramStart"/>
                        <w:r w:rsidRPr="00B31BE5">
                          <w:rPr>
                            <w:rFonts w:ascii="Calibri" w:eastAsia="Times New Roman" w:hAnsi="Calibri" w:cs="Calibri"/>
                            <w:color w:val="000000"/>
                          </w:rPr>
                          <w:t>години</w:t>
                        </w:r>
                        <w:proofErr w:type="gramEnd"/>
                        <w:r w:rsidRPr="00B31BE5">
                          <w:rPr>
                            <w:rFonts w:ascii="Calibri" w:eastAsia="Times New Roman" w:hAnsi="Calibri" w:cs="Calibri"/>
                            <w:color w:val="000000"/>
                          </w:rPr>
                          <w:t>.</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u w:val="single"/>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Расходи по основу коришћења услуга и роба планирани су у</w:t>
                        </w:r>
                        <w:r w:rsidR="00F35AB3">
                          <w:rPr>
                            <w:rFonts w:ascii="Calibri" w:eastAsia="Times New Roman" w:hAnsi="Calibri" w:cs="Calibri"/>
                            <w:color w:val="000000"/>
                          </w:rPr>
                          <w:t xml:space="preserve"> износу од 61,305,000.00 динара</w:t>
                        </w:r>
                        <w:r w:rsidR="00F35AB3">
                          <w:rPr>
                            <w:rFonts w:ascii="Calibri" w:eastAsia="Times New Roman" w:hAnsi="Calibri" w:cs="Calibri"/>
                            <w:color w:val="000000"/>
                            <w:lang w:val="sr-Cyrl-RS"/>
                          </w:rPr>
                          <w:t xml:space="preserve"> </w:t>
                        </w:r>
                        <w:r w:rsidRPr="00B31BE5">
                          <w:rPr>
                            <w:rFonts w:ascii="Calibri" w:eastAsia="Times New Roman" w:hAnsi="Calibri" w:cs="Calibri"/>
                            <w:color w:val="000000"/>
                          </w:rPr>
                          <w:t>што је 37</w:t>
                        </w:r>
                        <w:proofErr w:type="gramStart"/>
                        <w:r w:rsidRPr="00B31BE5">
                          <w:rPr>
                            <w:rFonts w:ascii="Calibri" w:eastAsia="Times New Roman" w:hAnsi="Calibri" w:cs="Calibri"/>
                            <w:color w:val="000000"/>
                          </w:rPr>
                          <w:t>,02</w:t>
                        </w:r>
                        <w:proofErr w:type="gramEnd"/>
                        <w:r w:rsidRPr="00B31BE5">
                          <w:rPr>
                            <w:rFonts w:ascii="Calibri" w:eastAsia="Times New Roman" w:hAnsi="Calibri" w:cs="Calibri"/>
                            <w:color w:val="000000"/>
                          </w:rPr>
                          <w:t xml:space="preserve"> % укупно планираних расхода и издатака за 2023</w:t>
                        </w:r>
                        <w:r w:rsidR="00F35AB3">
                          <w:rPr>
                            <w:rFonts w:ascii="Calibri" w:eastAsia="Times New Roman" w:hAnsi="Calibri" w:cs="Calibri"/>
                            <w:color w:val="000000"/>
                          </w:rPr>
                          <w:t xml:space="preserve">. </w:t>
                        </w:r>
                        <w:proofErr w:type="gramStart"/>
                        <w:r w:rsidR="00F35AB3">
                          <w:rPr>
                            <w:rFonts w:ascii="Calibri" w:eastAsia="Times New Roman" w:hAnsi="Calibri" w:cs="Calibri"/>
                            <w:color w:val="000000"/>
                          </w:rPr>
                          <w:t>годину</w:t>
                        </w:r>
                        <w:proofErr w:type="gramEnd"/>
                        <w:r w:rsidR="00F35AB3">
                          <w:rPr>
                            <w:rFonts w:ascii="Calibri" w:eastAsia="Times New Roman" w:hAnsi="Calibri" w:cs="Calibri"/>
                            <w:color w:val="000000"/>
                          </w:rPr>
                          <w:t>. Ови расходи односе с</w:t>
                        </w:r>
                        <w:r w:rsidR="00F35AB3">
                          <w:rPr>
                            <w:rFonts w:ascii="Calibri" w:eastAsia="Times New Roman" w:hAnsi="Calibri" w:cs="Calibri"/>
                            <w:color w:val="000000"/>
                            <w:lang w:val="sr-Cyrl-RS"/>
                          </w:rPr>
                          <w:t xml:space="preserve">е </w:t>
                        </w:r>
                        <w:r w:rsidRPr="00B31BE5">
                          <w:rPr>
                            <w:rFonts w:ascii="Calibri" w:eastAsia="Times New Roman" w:hAnsi="Calibri" w:cs="Calibri"/>
                            <w:color w:val="000000"/>
                          </w:rPr>
                          <w:t>на сталне трошкове, трошкове путовања, услуге по у</w:t>
                        </w:r>
                        <w:r w:rsidR="00F35AB3">
                          <w:rPr>
                            <w:rFonts w:ascii="Calibri" w:eastAsia="Times New Roman" w:hAnsi="Calibri" w:cs="Calibri"/>
                            <w:color w:val="000000"/>
                          </w:rPr>
                          <w:t>говору, специјализоване услуге</w:t>
                        </w:r>
                        <w:proofErr w:type="gramStart"/>
                        <w:r w:rsidR="00F35AB3">
                          <w:rPr>
                            <w:rFonts w:ascii="Calibri" w:eastAsia="Times New Roman" w:hAnsi="Calibri" w:cs="Calibri"/>
                            <w:color w:val="000000"/>
                          </w:rPr>
                          <w:t>,текуће</w:t>
                        </w:r>
                        <w:proofErr w:type="gramEnd"/>
                        <w:r w:rsidR="00F35AB3">
                          <w:rPr>
                            <w:rFonts w:ascii="Calibri" w:eastAsia="Times New Roman" w:hAnsi="Calibri" w:cs="Calibri"/>
                            <w:color w:val="000000"/>
                            <w:lang w:val="sr-Cyrl-RS"/>
                          </w:rPr>
                          <w:t xml:space="preserve"> </w:t>
                        </w:r>
                        <w:r w:rsidRPr="00B31BE5">
                          <w:rPr>
                            <w:rFonts w:ascii="Calibri" w:eastAsia="Times New Roman" w:hAnsi="Calibri" w:cs="Calibri"/>
                            <w:color w:val="000000"/>
                          </w:rPr>
                          <w:t>поправке, одржавање и материјал.</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Стални трошкови планирани су у износу од 5,200,000.00 динара и они подразумевају трошкове платног промета и банкарских услуга, енергетских услуга (електрична енергија и лож уље) комуналних услуга (услуге водовода и канализације, дератизације, одвоз отпада), услуге комуникација (трошкови телефона, интернета, поште и доставе), трошкове осигурања (осигурање возила, опреме и запослених)</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Трошкови путовања планирани су у износу од 1,200.000,00 динара за покриће трошкова службених путовања у земљи и иностранству. Ови трошкови подразумевају трошкове дневница (исхране) на службеном путу, превоза, смештаја и осталих трошкова на службеном путу.</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3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Расходи услуга по уговору, планирани су у износу од 40,400,000.00 динара на име покрића расхода по основу административних услуга (услуга превођења и осталих административних услуга), компјутерских услуга (услуга за израду софтвера и осталих компјутерских услуга), услуга образовања и усавршавања запослених (котизација за семинаре и стручна саветовања, издатака за стручне испите и осталих издатака за стручно образовање), услуга информисања (услуга штампања,   услуга објављивања тендера и информативних огласа), стручних услуга (паушали и дневнице одборника Скупштине Градске општине Палилула, накнаде за вршење функција председника сталних радних тела Скупштине Градске општине Палилулај, накнаде трошкова дневница члановима сталних тела Скупштине Градске општине Палилула, паушала техничким секретарима одборничких група Скупштине Градске општине Палилула, накнаде за вршење функције секретара Скупштине Градске општине Палилула који није на сталном раду, паушал члановима Канцеларије за младе, накнаде за вршење функције члановима Већа Градске општине Палилула који нису на сталном раду,  репрезентације (репрезентација), организације Палилулске вечери и општинске славе и осталих општих услуга.</w:t>
                        </w:r>
                      </w:p>
                    </w:tc>
                  </w:tr>
                  <w:tr w:rsidR="00B31BE5" w:rsidRPr="00B31BE5" w:rsidTr="00B31BE5">
                    <w:trPr>
                      <w:trHeight w:val="42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45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Специјализоване услуге планиране су у износу од 350.000,0</w:t>
                        </w:r>
                        <w:r w:rsidR="00F35AB3">
                          <w:rPr>
                            <w:rFonts w:ascii="Calibri" w:eastAsia="Times New Roman" w:hAnsi="Calibri" w:cs="Calibri"/>
                            <w:color w:val="000000"/>
                          </w:rPr>
                          <w:t>0 динара за исплату</w:t>
                        </w:r>
                        <w:r w:rsidR="00F35AB3">
                          <w:rPr>
                            <w:rFonts w:ascii="Calibri" w:eastAsia="Times New Roman" w:hAnsi="Calibri" w:cs="Calibri"/>
                            <w:color w:val="000000"/>
                            <w:lang w:val="sr-Cyrl-RS"/>
                          </w:rPr>
                          <w:t xml:space="preserve"> </w:t>
                        </w:r>
                        <w:r w:rsidR="00F35AB3">
                          <w:rPr>
                            <w:rFonts w:ascii="Calibri" w:eastAsia="Times New Roman" w:hAnsi="Calibri" w:cs="Calibri"/>
                            <w:color w:val="000000"/>
                          </w:rPr>
                          <w:t>медицинских</w:t>
                        </w:r>
                        <w:r w:rsidR="00F35AB3">
                          <w:rPr>
                            <w:rFonts w:ascii="Calibri" w:eastAsia="Times New Roman" w:hAnsi="Calibri" w:cs="Calibri"/>
                            <w:color w:val="000000"/>
                            <w:lang w:val="sr-Cyrl-RS"/>
                          </w:rPr>
                          <w:t xml:space="preserve"> </w:t>
                        </w:r>
                        <w:r w:rsidRPr="00B31BE5">
                          <w:rPr>
                            <w:rFonts w:ascii="Calibri" w:eastAsia="Times New Roman" w:hAnsi="Calibri" w:cs="Calibri"/>
                            <w:color w:val="000000"/>
                          </w:rPr>
                          <w:t>услуга, геодетских услуга и осталих специјализованих услуга (израда техничке документације будућих пројеката, бактеријска анализа воде на сеоским водоводима).</w:t>
                        </w:r>
                      </w:p>
                    </w:tc>
                  </w:tr>
                  <w:tr w:rsidR="00B31BE5" w:rsidRPr="00B31BE5" w:rsidTr="00B31BE5">
                    <w:trPr>
                      <w:trHeight w:val="269"/>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42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Расходи текућих поправки и одржавања планирани су у износу од 7.905.000</w:t>
                        </w:r>
                        <w:proofErr w:type="gramStart"/>
                        <w:r w:rsidRPr="00B31BE5">
                          <w:rPr>
                            <w:rFonts w:ascii="Calibri" w:eastAsia="Times New Roman" w:hAnsi="Calibri" w:cs="Calibri"/>
                            <w:color w:val="000000"/>
                          </w:rPr>
                          <w:t>,00</w:t>
                        </w:r>
                        <w:proofErr w:type="gramEnd"/>
                        <w:r w:rsidRPr="00B31BE5">
                          <w:rPr>
                            <w:rFonts w:ascii="Calibri" w:eastAsia="Times New Roman" w:hAnsi="Calibri" w:cs="Calibri"/>
                            <w:color w:val="000000"/>
                          </w:rPr>
                          <w:t xml:space="preserve"> динара за текуће поправке и одржавање зграда и објеката, опреме. Ове поправке и одржавање подразумевају зидарске, столарске, молерске радове, радове на крову, водоводу и канализацији, централном грејању, електричним инсталацијама, комуникационим </w:t>
                        </w:r>
                        <w:r w:rsidRPr="00B31BE5">
                          <w:rPr>
                            <w:rFonts w:ascii="Calibri" w:eastAsia="Times New Roman" w:hAnsi="Calibri" w:cs="Calibri"/>
                            <w:color w:val="000000"/>
                          </w:rPr>
                          <w:lastRenderedPageBreak/>
                          <w:t>инсталацијама, текуће поправке и одржавање опреме за саобраћај, административне опреме и остале опреме. Ови расходи обухватају и текуће одржавање хлоринаторских станица сеоских водовода на подручју Градске општине Палилула.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Расходи материјала планирани су у износу од 6.250.000,00 динара, за набавку административног материјала (канцеларијски материјал), материјала за образовање и усавршавање запослених (публикације, часописи, гласила), материјала за саобраћај (издаци за гориво, мазива и остали материјал за превозна средства), материјала за образовање, културу и спорт, материјала за одржавање хигијене (хемијска средства за чишћење, инвентар за одржавање хигијене, остали материјал за одржавање хигијене) и материјала за посебне намене (потрошни материјал, резервни делови, алат и инвентар и остали материјал за посебне намене).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Субвенције планиране су у износу од 1.200.000</w:t>
                        </w:r>
                        <w:proofErr w:type="gramStart"/>
                        <w:r w:rsidRPr="00B31BE5">
                          <w:rPr>
                            <w:rFonts w:ascii="Calibri" w:eastAsia="Times New Roman" w:hAnsi="Calibri" w:cs="Calibri"/>
                            <w:color w:val="000000"/>
                          </w:rPr>
                          <w:t>,00</w:t>
                        </w:r>
                        <w:proofErr w:type="gramEnd"/>
                        <w:r w:rsidRPr="00B31BE5">
                          <w:rPr>
                            <w:rFonts w:ascii="Calibri" w:eastAsia="Times New Roman" w:hAnsi="Calibri" w:cs="Calibri"/>
                            <w:color w:val="000000"/>
                          </w:rPr>
                          <w:t xml:space="preserve"> динара, што је 0,72% укупно планираних расхода и издатака за 2023. </w:t>
                        </w:r>
                        <w:proofErr w:type="gramStart"/>
                        <w:r w:rsidRPr="00B31BE5">
                          <w:rPr>
                            <w:rFonts w:ascii="Calibri" w:eastAsia="Times New Roman" w:hAnsi="Calibri" w:cs="Calibri"/>
                            <w:color w:val="000000"/>
                          </w:rPr>
                          <w:t>годину</w:t>
                        </w:r>
                        <w:proofErr w:type="gramEnd"/>
                        <w:r w:rsidRPr="00B31BE5">
                          <w:rPr>
                            <w:rFonts w:ascii="Calibri" w:eastAsia="Times New Roman" w:hAnsi="Calibri" w:cs="Calibri"/>
                            <w:color w:val="000000"/>
                          </w:rPr>
                          <w:t>, а односе се на субвенције приватним предузећима.</w:t>
                        </w:r>
                        <w:r w:rsidRPr="00B31BE5">
                          <w:rPr>
                            <w:rFonts w:ascii="Calibri" w:eastAsia="Times New Roman" w:hAnsi="Calibri" w:cs="Calibri"/>
                            <w:color w:val="000000"/>
                          </w:rPr>
                          <w:br/>
                          <w:t>Субвенције приватним предузећима подразумевају суфинансирање медијских пројеката у области јавног информисања, односно медијских садржаја од јавног интереса.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Дотације и трансфери, планирани су у износу од 7.000.000</w:t>
                        </w:r>
                        <w:proofErr w:type="gramStart"/>
                        <w:r w:rsidRPr="00B31BE5">
                          <w:rPr>
                            <w:rFonts w:ascii="Calibri" w:eastAsia="Times New Roman" w:hAnsi="Calibri" w:cs="Calibri"/>
                            <w:color w:val="000000"/>
                          </w:rPr>
                          <w:t>,00</w:t>
                        </w:r>
                        <w:proofErr w:type="gramEnd"/>
                        <w:r w:rsidRPr="00B31BE5">
                          <w:rPr>
                            <w:rFonts w:ascii="Calibri" w:eastAsia="Times New Roman" w:hAnsi="Calibri" w:cs="Calibri"/>
                            <w:color w:val="000000"/>
                          </w:rPr>
                          <w:t xml:space="preserve"> динара, што је 4,23% укупно планираних расхода и издатака за 2023. </w:t>
                        </w:r>
                        <w:proofErr w:type="gramStart"/>
                        <w:r w:rsidRPr="00B31BE5">
                          <w:rPr>
                            <w:rFonts w:ascii="Calibri" w:eastAsia="Times New Roman" w:hAnsi="Calibri" w:cs="Calibri"/>
                            <w:color w:val="000000"/>
                          </w:rPr>
                          <w:t>годину</w:t>
                        </w:r>
                        <w:proofErr w:type="gramEnd"/>
                        <w:r w:rsidRPr="00B31BE5">
                          <w:rPr>
                            <w:rFonts w:ascii="Calibri" w:eastAsia="Times New Roman" w:hAnsi="Calibri" w:cs="Calibri"/>
                            <w:color w:val="000000"/>
                          </w:rPr>
                          <w:t>. Ови расходи односе се на исплату трансфера осталим нивоима власти.</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Трансфери осталим нивоима власти планирани су у износу од 6,000,000.00 динара, и односе се на расходе везане за пренос средстава Центру за социјални рад, по основу социјалне заштите угрожених категорија становништва са територије Градске општине Палилула, пренос средстава предшколским установама и основним школама на територији Градске општине Палилула.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Дотације организацијама обавезног социјалног осигурања планиране су уизносу од 1.000.000,00 динара и односе се на расходе везане за пренос средства Националној служби за запошљавање по основу подстицаја у запошљавању незапослених лица са територије Градске општине Палилула.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Остали расходи планирани су у износу од 7.000.000</w:t>
                        </w:r>
                        <w:proofErr w:type="gramStart"/>
                        <w:r w:rsidRPr="00B31BE5">
                          <w:rPr>
                            <w:rFonts w:ascii="Calibri" w:eastAsia="Times New Roman" w:hAnsi="Calibri" w:cs="Calibri"/>
                            <w:color w:val="000000"/>
                          </w:rPr>
                          <w:t>,00</w:t>
                        </w:r>
                        <w:proofErr w:type="gramEnd"/>
                        <w:r w:rsidRPr="00B31BE5">
                          <w:rPr>
                            <w:rFonts w:ascii="Calibri" w:eastAsia="Times New Roman" w:hAnsi="Calibri" w:cs="Calibri"/>
                            <w:color w:val="000000"/>
                          </w:rPr>
                          <w:t xml:space="preserve"> динара, што је 4,23% укупно планираних расхода и издатака. Ови расходи подразумевају дотације невладиним организацијама, порезе, обавезне таксе и казне.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Дотације невладиним организацијама планиране су у износу од 6.000.000</w:t>
                        </w:r>
                        <w:proofErr w:type="gramStart"/>
                        <w:r w:rsidRPr="00B31BE5">
                          <w:rPr>
                            <w:rFonts w:ascii="Calibri" w:eastAsia="Times New Roman" w:hAnsi="Calibri" w:cs="Calibri"/>
                            <w:color w:val="000000"/>
                          </w:rPr>
                          <w:t>,00</w:t>
                        </w:r>
                        <w:proofErr w:type="gramEnd"/>
                        <w:r w:rsidRPr="00B31BE5">
                          <w:rPr>
                            <w:rFonts w:ascii="Calibri" w:eastAsia="Times New Roman" w:hAnsi="Calibri" w:cs="Calibri"/>
                            <w:color w:val="000000"/>
                          </w:rPr>
                          <w:t xml:space="preserve"> динара, и користиће се за исплату дотација осталим непрофитним институцијама и то: спортским омладинским организацијама, удружењима из области културе и  осталим удружењима грађана за пројекте од јавног интереса.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Порези, обавезне таксе и казне, планиране су у износу од 500.000,00 динара. Ова средства планирана су за исплату осталих пореза, обавезних такси и новчаних казни.</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Новчане казне и пенали по решењу судова планиране су у износу од 300,000.00 динара.</w:t>
                        </w: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Средства резерве, планирана су у износу од 5.000.000</w:t>
                        </w:r>
                        <w:proofErr w:type="gramStart"/>
                        <w:r w:rsidRPr="00B31BE5">
                          <w:rPr>
                            <w:rFonts w:ascii="Calibri" w:eastAsia="Times New Roman" w:hAnsi="Calibri" w:cs="Calibri"/>
                            <w:color w:val="000000"/>
                          </w:rPr>
                          <w:t>,00</w:t>
                        </w:r>
                        <w:proofErr w:type="gramEnd"/>
                        <w:r w:rsidRPr="00B31BE5">
                          <w:rPr>
                            <w:rFonts w:ascii="Calibri" w:eastAsia="Times New Roman" w:hAnsi="Calibri" w:cs="Calibri"/>
                            <w:color w:val="000000"/>
                          </w:rPr>
                          <w:t xml:space="preserve"> динара, на основу члана 69. </w:t>
                        </w:r>
                        <w:proofErr w:type="gramStart"/>
                        <w:r w:rsidRPr="00B31BE5">
                          <w:rPr>
                            <w:rFonts w:ascii="Calibri" w:eastAsia="Times New Roman" w:hAnsi="Calibri" w:cs="Calibri"/>
                            <w:color w:val="000000"/>
                          </w:rPr>
                          <w:t>и</w:t>
                        </w:r>
                        <w:proofErr w:type="gramEnd"/>
                        <w:r w:rsidRPr="00B31BE5">
                          <w:rPr>
                            <w:rFonts w:ascii="Calibri" w:eastAsia="Times New Roman" w:hAnsi="Calibri" w:cs="Calibri"/>
                            <w:color w:val="000000"/>
                          </w:rPr>
                          <w:t xml:space="preserve"> 70. Закона о буџетском систему којим је предвиђено да се средства сталне буџетске резерве планирају као посебна апропријација за финансирање расхода на име учешћа локалне власти у отклањању последица ванредних околности, а текућа буџетска резерва користи се за непланиране сврхе за које нису утврђене апропријације, или за сврхе за које се у току </w:t>
                        </w:r>
                        <w:r w:rsidRPr="00B31BE5">
                          <w:rPr>
                            <w:rFonts w:ascii="Calibri" w:eastAsia="Times New Roman" w:hAnsi="Calibri" w:cs="Calibri"/>
                            <w:color w:val="000000"/>
                          </w:rPr>
                          <w:lastRenderedPageBreak/>
                          <w:t>године покаже да апропријације нису биле довољне.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405"/>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269"/>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tcBorders>
                          <w:top w:val="nil"/>
                          <w:left w:val="nil"/>
                          <w:bottom w:val="nil"/>
                          <w:right w:val="nil"/>
                        </w:tcBorders>
                        <w:shd w:val="clear" w:color="auto" w:fill="auto"/>
                        <w:vAlign w:val="bottom"/>
                        <w:hideMark/>
                      </w:tcPr>
                      <w:p w:rsidR="00B31BE5" w:rsidRPr="00B31BE5" w:rsidRDefault="00B31BE5" w:rsidP="00B31BE5">
                        <w:pPr>
                          <w:spacing w:after="0" w:line="240" w:lineRule="auto"/>
                          <w:jc w:val="center"/>
                          <w:rPr>
                            <w:rFonts w:ascii="Calibri" w:eastAsia="Times New Roman" w:hAnsi="Calibri" w:cs="Calibri"/>
                            <w:color w:val="000000"/>
                          </w:rPr>
                        </w:pPr>
                        <w:r w:rsidRPr="00B31BE5">
                          <w:rPr>
                            <w:rFonts w:ascii="Calibri" w:eastAsia="Times New Roman" w:hAnsi="Calibri" w:cs="Calibri"/>
                            <w:color w:val="000000"/>
                          </w:rPr>
                          <w:t>ИЗДАЦИ ЗА НЕФИНАНСИЈСКУ ИМОВИНУ</w:t>
                        </w:r>
                      </w:p>
                    </w:tc>
                  </w:tr>
                  <w:tr w:rsidR="00B31BE5" w:rsidRPr="00B31BE5" w:rsidTr="00B31BE5">
                    <w:trPr>
                      <w:trHeight w:val="300"/>
                    </w:trPr>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Издаци за основна средства планирана су у износу од 9,000,000.00 динара, што је 5</w:t>
                        </w:r>
                        <w:proofErr w:type="gramStart"/>
                        <w:r w:rsidRPr="00B31BE5">
                          <w:rPr>
                            <w:rFonts w:ascii="Calibri" w:eastAsia="Times New Roman" w:hAnsi="Calibri" w:cs="Calibri"/>
                            <w:color w:val="000000"/>
                          </w:rPr>
                          <w:t>,43</w:t>
                        </w:r>
                        <w:proofErr w:type="gramEnd"/>
                        <w:r w:rsidRPr="00B31BE5">
                          <w:rPr>
                            <w:rFonts w:ascii="Calibri" w:eastAsia="Times New Roman" w:hAnsi="Calibri" w:cs="Calibri"/>
                            <w:color w:val="000000"/>
                          </w:rPr>
                          <w:t xml:space="preserve">% укупно планираних расхода и издатака у 2023. </w:t>
                        </w:r>
                        <w:proofErr w:type="gramStart"/>
                        <w:r w:rsidRPr="00B31BE5">
                          <w:rPr>
                            <w:rFonts w:ascii="Calibri" w:eastAsia="Times New Roman" w:hAnsi="Calibri" w:cs="Calibri"/>
                            <w:color w:val="000000"/>
                          </w:rPr>
                          <w:t>години</w:t>
                        </w:r>
                        <w:proofErr w:type="gramEnd"/>
                        <w:r w:rsidRPr="00B31BE5">
                          <w:rPr>
                            <w:rFonts w:ascii="Calibri" w:eastAsia="Times New Roman" w:hAnsi="Calibri" w:cs="Calibri"/>
                            <w:color w:val="000000"/>
                          </w:rPr>
                          <w:t xml:space="preserve">. Ови издаци подразумевају издатке </w:t>
                        </w:r>
                        <w:proofErr w:type="gramStart"/>
                        <w:r w:rsidRPr="00B31BE5">
                          <w:rPr>
                            <w:rFonts w:ascii="Calibri" w:eastAsia="Times New Roman" w:hAnsi="Calibri" w:cs="Calibri"/>
                            <w:color w:val="000000"/>
                          </w:rPr>
                          <w:t>за  набавку</w:t>
                        </w:r>
                        <w:proofErr w:type="gramEnd"/>
                        <w:r w:rsidRPr="00B31BE5">
                          <w:rPr>
                            <w:rFonts w:ascii="Calibri" w:eastAsia="Times New Roman" w:hAnsi="Calibri" w:cs="Calibri"/>
                            <w:color w:val="000000"/>
                          </w:rPr>
                          <w:t xml:space="preserve"> машина и опреме, осталих некретнина и опреме и нематеријалне имовине.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Издаци за набавку машина и опреме, планирани су у износу од 700,000.00 динара. Ови издаци односе се на набавку неопходне опреме: административну опрему (канцеларијска, рачунарска, комуникациона, електронска и фотографска опрема) </w:t>
                        </w:r>
                        <w:proofErr w:type="gramStart"/>
                        <w:r w:rsidRPr="00B31BE5">
                          <w:rPr>
                            <w:rFonts w:ascii="Calibri" w:eastAsia="Times New Roman" w:hAnsi="Calibri" w:cs="Calibri"/>
                            <w:color w:val="000000"/>
                          </w:rPr>
                          <w:t>и  моторну</w:t>
                        </w:r>
                        <w:proofErr w:type="gramEnd"/>
                        <w:r w:rsidRPr="00B31BE5">
                          <w:rPr>
                            <w:rFonts w:ascii="Calibri" w:eastAsia="Times New Roman" w:hAnsi="Calibri" w:cs="Calibri"/>
                            <w:color w:val="000000"/>
                          </w:rPr>
                          <w:t>, непокретну и немоторну опрему.</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Издаци за набавку осталих некретнина и опреме, планирани су у износу од 8.100.000,00 динара за набавку остале опреме потребне за функционисање општине и постављање  парковског и дечијег мобилијара у насељима на подручју Градске општине Палилула, као и постављање подземних контејнера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Средства за набавку нематеријалне имовине, планирана су у износу од 100.000,00 динара за набавку софтвера, за потребе обављања и праћења активности из надлежности Градске општине Палилула.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tcBorders>
                          <w:top w:val="nil"/>
                          <w:left w:val="nil"/>
                          <w:bottom w:val="nil"/>
                          <w:right w:val="nil"/>
                        </w:tcBorders>
                        <w:shd w:val="clear" w:color="auto" w:fill="auto"/>
                        <w:vAlign w:val="bottom"/>
                        <w:hideMark/>
                      </w:tcPr>
                      <w:p w:rsidR="00B31BE5" w:rsidRPr="00B31BE5" w:rsidRDefault="00B31BE5" w:rsidP="00B31BE5">
                        <w:pPr>
                          <w:spacing w:after="0" w:line="240" w:lineRule="auto"/>
                          <w:jc w:val="center"/>
                          <w:rPr>
                            <w:rFonts w:ascii="Calibri" w:eastAsia="Times New Roman" w:hAnsi="Calibri" w:cs="Calibri"/>
                            <w:color w:val="000000"/>
                          </w:rPr>
                        </w:pPr>
                        <w:r w:rsidRPr="00B31BE5">
                          <w:rPr>
                            <w:rFonts w:ascii="Calibri" w:eastAsia="Times New Roman" w:hAnsi="Calibri" w:cs="Calibri"/>
                            <w:color w:val="000000"/>
                          </w:rPr>
                          <w:t>РАЗДЕО 1 – СКУПШТИНА ГРАДСКЕ ОПШТИНЕ ПАЛИЛУЛА</w:t>
                        </w:r>
                      </w:p>
                    </w:tc>
                  </w:tr>
                  <w:tr w:rsidR="00B31BE5" w:rsidRPr="00B31BE5" w:rsidTr="00B31BE5">
                    <w:trPr>
                      <w:trHeight w:val="300"/>
                    </w:trPr>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У разделу 1 – Скупштина Градске општине Палилула на позицијама од броја 1. </w:t>
                        </w:r>
                        <w:proofErr w:type="gramStart"/>
                        <w:r w:rsidRPr="00B31BE5">
                          <w:rPr>
                            <w:rFonts w:ascii="Calibri" w:eastAsia="Times New Roman" w:hAnsi="Calibri" w:cs="Calibri"/>
                            <w:color w:val="000000"/>
                          </w:rPr>
                          <w:t>до</w:t>
                        </w:r>
                        <w:proofErr w:type="gramEnd"/>
                        <w:r w:rsidRPr="00B31BE5">
                          <w:rPr>
                            <w:rFonts w:ascii="Calibri" w:eastAsia="Times New Roman" w:hAnsi="Calibri" w:cs="Calibri"/>
                            <w:color w:val="000000"/>
                          </w:rPr>
                          <w:t xml:space="preserve"> броја 6. у оквиру функционалне класификације 111 - Извршни и законодавни органи, исказани су расходи неопходни за функционисање Скупштине и сталних радних тела Скупштине Градске општине Палилула. Планиране су плате  председника Скупштине Градске општине Палилула и заменика председника  Скупштине Градске општине Палилула, социјални доприноси на терет послодавца, социјална давања запосленима (накнаде за време одсуствовања с посла на терет фондова, отпремнине и помоћи, као и помоћ у медицинском лечењу запосленог или члана уже породице и друге помоћи запосленом), накнаде трошкова за запослене (накнада за превоз на посао и са посла), трошкови путовања (дневнице, превоз, смештај и остали трошкови на службеном путу у земљи и иностранству), услуге по уговору (паушал и дневнице одборника Скупштине Градске општине Палилула, накнада за вршење функције председника Одбора за административна и мандатно-имунитетска питања,  накнада за вршење функције председника одбора за европске интеграције и сарадњу са СКГО, председника сталних радних тела Скупштине Градске општине Палилула, који нису на сталном раду у Градској општини Палилула, паушали техничких секретара одборничких група Скупштине, дневнице чланова сталних радних тела Скупштине, репрезентација.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Default="00B31BE5" w:rsidP="00B31BE5">
                        <w:pPr>
                          <w:spacing w:after="0" w:line="240" w:lineRule="auto"/>
                          <w:rPr>
                            <w:rFonts w:ascii="Calibri" w:eastAsia="Times New Roman" w:hAnsi="Calibri" w:cs="Calibri"/>
                            <w:color w:val="000000"/>
                            <w:lang w:val="sr-Cyrl-RS"/>
                          </w:rPr>
                        </w:pPr>
                      </w:p>
                      <w:p w:rsidR="00F35AB3" w:rsidRDefault="00F35AB3" w:rsidP="00B31BE5">
                        <w:pPr>
                          <w:spacing w:after="0" w:line="240" w:lineRule="auto"/>
                          <w:rPr>
                            <w:rFonts w:ascii="Calibri" w:eastAsia="Times New Roman" w:hAnsi="Calibri" w:cs="Calibri"/>
                            <w:color w:val="000000"/>
                            <w:lang w:val="sr-Cyrl-RS"/>
                          </w:rPr>
                        </w:pPr>
                      </w:p>
                      <w:p w:rsidR="00F35AB3" w:rsidRDefault="00F35AB3" w:rsidP="00B31BE5">
                        <w:pPr>
                          <w:spacing w:after="0" w:line="240" w:lineRule="auto"/>
                          <w:rPr>
                            <w:rFonts w:ascii="Calibri" w:eastAsia="Times New Roman" w:hAnsi="Calibri" w:cs="Calibri"/>
                            <w:color w:val="000000"/>
                            <w:lang w:val="sr-Cyrl-RS"/>
                          </w:rPr>
                        </w:pPr>
                      </w:p>
                      <w:p w:rsidR="00F35AB3" w:rsidRPr="00B31BE5" w:rsidRDefault="00F35AB3" w:rsidP="00B31BE5">
                        <w:pPr>
                          <w:spacing w:after="0" w:line="240" w:lineRule="auto"/>
                          <w:rPr>
                            <w:rFonts w:ascii="Calibri" w:eastAsia="Times New Roman" w:hAnsi="Calibri" w:cs="Calibri"/>
                            <w:color w:val="000000"/>
                            <w:lang w:val="sr-Cyrl-RS"/>
                          </w:rPr>
                        </w:pPr>
                      </w:p>
                    </w:tc>
                    <w:tc>
                      <w:tcPr>
                        <w:tcW w:w="10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Default="00B31BE5" w:rsidP="00B31BE5">
                        <w:pPr>
                          <w:spacing w:after="0" w:line="240" w:lineRule="auto"/>
                          <w:rPr>
                            <w:rFonts w:ascii="Calibri" w:eastAsia="Times New Roman" w:hAnsi="Calibri" w:cs="Calibri"/>
                            <w:color w:val="000000"/>
                            <w:lang w:val="sr-Cyrl-RS"/>
                          </w:rPr>
                        </w:pPr>
                      </w:p>
                      <w:p w:rsidR="00A80437" w:rsidRDefault="00A80437" w:rsidP="00B31BE5">
                        <w:pPr>
                          <w:spacing w:after="0" w:line="240" w:lineRule="auto"/>
                          <w:rPr>
                            <w:rFonts w:ascii="Calibri" w:eastAsia="Times New Roman" w:hAnsi="Calibri" w:cs="Calibri"/>
                            <w:color w:val="000000"/>
                            <w:lang w:val="sr-Cyrl-RS"/>
                          </w:rPr>
                        </w:pPr>
                      </w:p>
                      <w:p w:rsidR="00A80437" w:rsidRDefault="00A80437" w:rsidP="00B31BE5">
                        <w:pPr>
                          <w:spacing w:after="0" w:line="240" w:lineRule="auto"/>
                          <w:rPr>
                            <w:rFonts w:ascii="Calibri" w:eastAsia="Times New Roman" w:hAnsi="Calibri" w:cs="Calibri"/>
                            <w:color w:val="000000"/>
                            <w:lang w:val="sr-Cyrl-RS"/>
                          </w:rPr>
                        </w:pPr>
                      </w:p>
                      <w:p w:rsidR="00A80437" w:rsidRDefault="00A80437" w:rsidP="00B31BE5">
                        <w:pPr>
                          <w:spacing w:after="0" w:line="240" w:lineRule="auto"/>
                          <w:rPr>
                            <w:rFonts w:ascii="Calibri" w:eastAsia="Times New Roman" w:hAnsi="Calibri" w:cs="Calibri"/>
                            <w:color w:val="000000"/>
                            <w:lang w:val="sr-Cyrl-RS"/>
                          </w:rPr>
                        </w:pPr>
                      </w:p>
                      <w:p w:rsidR="00A80437" w:rsidRPr="00A80437" w:rsidRDefault="00A80437" w:rsidP="00B31BE5">
                        <w:pPr>
                          <w:spacing w:after="0" w:line="240" w:lineRule="auto"/>
                          <w:rPr>
                            <w:rFonts w:ascii="Calibri" w:eastAsia="Times New Roman" w:hAnsi="Calibri" w:cs="Calibri"/>
                            <w:color w:val="000000"/>
                            <w:lang w:val="sr-Cyrl-RS"/>
                          </w:rPr>
                        </w:pPr>
                        <w:bookmarkStart w:id="0" w:name="_GoBack"/>
                        <w:bookmarkEnd w:id="0"/>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tcBorders>
                          <w:top w:val="nil"/>
                          <w:left w:val="nil"/>
                          <w:bottom w:val="nil"/>
                          <w:right w:val="nil"/>
                        </w:tcBorders>
                        <w:shd w:val="clear" w:color="auto" w:fill="auto"/>
                        <w:vAlign w:val="bottom"/>
                        <w:hideMark/>
                      </w:tcPr>
                      <w:p w:rsidR="00B31BE5" w:rsidRPr="00B31BE5" w:rsidRDefault="00B31BE5" w:rsidP="00B31BE5">
                        <w:pPr>
                          <w:spacing w:after="0" w:line="240" w:lineRule="auto"/>
                          <w:jc w:val="center"/>
                          <w:rPr>
                            <w:rFonts w:ascii="Calibri" w:eastAsia="Times New Roman" w:hAnsi="Calibri" w:cs="Calibri"/>
                            <w:color w:val="000000"/>
                          </w:rPr>
                        </w:pPr>
                        <w:r w:rsidRPr="00B31BE5">
                          <w:rPr>
                            <w:rFonts w:ascii="Calibri" w:eastAsia="Times New Roman" w:hAnsi="Calibri" w:cs="Calibri"/>
                            <w:color w:val="000000"/>
                          </w:rPr>
                          <w:lastRenderedPageBreak/>
                          <w:t>РАЗДЕО 2 – ПРЕДСЕДНИК ГРАДСКЕ ОПШТИНЕ ПАЛИЛУЛА</w:t>
                        </w: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У разделу 2. – Председник Градске општине Палилула на позицијама од броја 7. </w:t>
                        </w:r>
                        <w:proofErr w:type="gramStart"/>
                        <w:r w:rsidRPr="00B31BE5">
                          <w:rPr>
                            <w:rFonts w:ascii="Calibri" w:eastAsia="Times New Roman" w:hAnsi="Calibri" w:cs="Calibri"/>
                            <w:color w:val="000000"/>
                          </w:rPr>
                          <w:t>до</w:t>
                        </w:r>
                        <w:proofErr w:type="gramEnd"/>
                        <w:r w:rsidRPr="00B31BE5">
                          <w:rPr>
                            <w:rFonts w:ascii="Calibri" w:eastAsia="Times New Roman" w:hAnsi="Calibri" w:cs="Calibri"/>
                            <w:color w:val="000000"/>
                          </w:rPr>
                          <w:t xml:space="preserve"> броја 12. у</w:t>
                        </w:r>
                        <w:r w:rsidRPr="00B31BE5">
                          <w:rPr>
                            <w:rFonts w:ascii="Calibri" w:eastAsia="Times New Roman" w:hAnsi="Calibri" w:cs="Calibri"/>
                            <w:color w:val="000000"/>
                          </w:rPr>
                          <w:br/>
                          <w:t xml:space="preserve">оквиру функционалне класификације 111 – Извршни и законодавни органи, планирана су </w:t>
                        </w:r>
                        <w:r w:rsidRPr="00B31BE5">
                          <w:rPr>
                            <w:rFonts w:ascii="Calibri" w:eastAsia="Times New Roman" w:hAnsi="Calibri" w:cs="Calibri"/>
                            <w:color w:val="000000"/>
                          </w:rPr>
                          <w:br/>
                          <w:t>средства за рад Председника Градске општине Палилула и то: плате председника, заменика</w:t>
                        </w:r>
                        <w:r w:rsidRPr="00B31BE5">
                          <w:rPr>
                            <w:rFonts w:ascii="Calibri" w:eastAsia="Times New Roman" w:hAnsi="Calibri" w:cs="Calibri"/>
                            <w:color w:val="000000"/>
                          </w:rPr>
                          <w:br/>
                          <w:t>председника и лица ангажованих по уговору о делу  , социјални доприноси на терет послодавца, социјална давања запосленима (накнаде за време одсуствовања с посла на терет фондова, отпремнине и помоћи, као и помоћ у медицинском лечењу запосленог или члана уже породице и друге помоћи запосленом), накнаде трошкова за запослене (накнада за превоз на посао и са посла), трошкови путовања (дневнице, превоз, смештај и остали трошкови на службеном путу у земљи и иностранству) и услуге по уговору (реперезентација).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У разделу 2. – Председник Градске општине Палилула на позицијама 13. </w:t>
                        </w:r>
                        <w:proofErr w:type="gramStart"/>
                        <w:r w:rsidRPr="00B31BE5">
                          <w:rPr>
                            <w:rFonts w:ascii="Calibri" w:eastAsia="Times New Roman" w:hAnsi="Calibri" w:cs="Calibri"/>
                            <w:color w:val="000000"/>
                          </w:rPr>
                          <w:t>и</w:t>
                        </w:r>
                        <w:proofErr w:type="gramEnd"/>
                        <w:r w:rsidRPr="00B31BE5">
                          <w:rPr>
                            <w:rFonts w:ascii="Calibri" w:eastAsia="Times New Roman" w:hAnsi="Calibri" w:cs="Calibri"/>
                            <w:color w:val="000000"/>
                          </w:rPr>
                          <w:t xml:space="preserve"> 14. у оквиру функционалне класификације 150 –Опште јавне услуге,планирана су средства за исплате накнада члановима канцеларије за младе , као и материјала који је неопходан за функционисање канцеларије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tcBorders>
                          <w:top w:val="nil"/>
                          <w:left w:val="nil"/>
                          <w:bottom w:val="nil"/>
                          <w:right w:val="nil"/>
                        </w:tcBorders>
                        <w:shd w:val="clear" w:color="auto" w:fill="auto"/>
                        <w:noWrap/>
                        <w:vAlign w:val="bottom"/>
                        <w:hideMark/>
                      </w:tcPr>
                      <w:p w:rsidR="00B31BE5" w:rsidRPr="00B31BE5" w:rsidRDefault="00B31BE5" w:rsidP="00B31BE5">
                        <w:pPr>
                          <w:spacing w:after="0" w:line="240" w:lineRule="auto"/>
                          <w:jc w:val="center"/>
                          <w:rPr>
                            <w:rFonts w:ascii="Calibri" w:eastAsia="Times New Roman" w:hAnsi="Calibri" w:cs="Calibri"/>
                            <w:color w:val="000000"/>
                          </w:rPr>
                        </w:pPr>
                        <w:r w:rsidRPr="00B31BE5">
                          <w:rPr>
                            <w:rFonts w:ascii="Calibri" w:eastAsia="Times New Roman" w:hAnsi="Calibri" w:cs="Calibri"/>
                            <w:color w:val="000000"/>
                          </w:rPr>
                          <w:t>РАЗДЕО 3 – ВЕЋЕ ГРАДСКЕ ОПШТИНЕ ПАЛИЛУЛА</w:t>
                        </w: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У разделу 3. – Веће Градске општине </w:t>
                        </w:r>
                        <w:proofErr w:type="gramStart"/>
                        <w:r w:rsidRPr="00B31BE5">
                          <w:rPr>
                            <w:rFonts w:ascii="Calibri" w:eastAsia="Times New Roman" w:hAnsi="Calibri" w:cs="Calibri"/>
                            <w:color w:val="000000"/>
                          </w:rPr>
                          <w:t>Палилула  на</w:t>
                        </w:r>
                        <w:proofErr w:type="gramEnd"/>
                        <w:r w:rsidRPr="00B31BE5">
                          <w:rPr>
                            <w:rFonts w:ascii="Calibri" w:eastAsia="Times New Roman" w:hAnsi="Calibri" w:cs="Calibri"/>
                            <w:color w:val="000000"/>
                          </w:rPr>
                          <w:t xml:space="preserve"> позицијама од броја 15.  </w:t>
                        </w:r>
                        <w:proofErr w:type="gramStart"/>
                        <w:r w:rsidRPr="00B31BE5">
                          <w:rPr>
                            <w:rFonts w:ascii="Calibri" w:eastAsia="Times New Roman" w:hAnsi="Calibri" w:cs="Calibri"/>
                            <w:color w:val="000000"/>
                          </w:rPr>
                          <w:t>до</w:t>
                        </w:r>
                        <w:proofErr w:type="gramEnd"/>
                        <w:r w:rsidRPr="00B31BE5">
                          <w:rPr>
                            <w:rFonts w:ascii="Calibri" w:eastAsia="Times New Roman" w:hAnsi="Calibri" w:cs="Calibri"/>
                            <w:color w:val="000000"/>
                          </w:rPr>
                          <w:t xml:space="preserve"> броја 20. у </w:t>
                        </w:r>
                        <w:r w:rsidRPr="00B31BE5">
                          <w:rPr>
                            <w:rFonts w:ascii="Calibri" w:eastAsia="Times New Roman" w:hAnsi="Calibri" w:cs="Calibri"/>
                            <w:color w:val="000000"/>
                          </w:rPr>
                          <w:br/>
                          <w:t xml:space="preserve">овиру функционалне класификације 111 –  Извршни и законодавни органи планирана су </w:t>
                        </w:r>
                        <w:r w:rsidRPr="00B31BE5">
                          <w:rPr>
                            <w:rFonts w:ascii="Calibri" w:eastAsia="Times New Roman" w:hAnsi="Calibri" w:cs="Calibri"/>
                            <w:color w:val="000000"/>
                          </w:rPr>
                          <w:br/>
                          <w:t xml:space="preserve">средства за плате чланова Већа Градске општине Палилула, социјални доприноси на терет </w:t>
                        </w:r>
                        <w:r w:rsidRPr="00B31BE5">
                          <w:rPr>
                            <w:rFonts w:ascii="Calibri" w:eastAsia="Times New Roman" w:hAnsi="Calibri" w:cs="Calibri"/>
                            <w:color w:val="000000"/>
                          </w:rPr>
                          <w:br/>
                          <w:t>послодавца, накнаде за рад чланова већа који нису у радном односу, социјална давања запосленима (накнаде за време одсуствовања с посла на терет фондова, отпремнине и помоћи, као и помоћ у медицинском лечењу запосленог или члана уже породице и друге помоћи запосленом), накнаде трошкова за запослене (накнада за превоз на посао и са посла), трошкови путовања (дневнице, превоз, смештај и остали трошкови на службеном путу у земљи и иностранству), трошкови организације Палилулске вечери и општинске славе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tcBorders>
                          <w:top w:val="nil"/>
                          <w:left w:val="nil"/>
                          <w:bottom w:val="nil"/>
                          <w:right w:val="nil"/>
                        </w:tcBorders>
                        <w:shd w:val="clear" w:color="auto" w:fill="auto"/>
                        <w:noWrap/>
                        <w:vAlign w:val="bottom"/>
                        <w:hideMark/>
                      </w:tcPr>
                      <w:p w:rsidR="00B31BE5" w:rsidRPr="00B31BE5" w:rsidRDefault="00B31BE5" w:rsidP="00B31BE5">
                        <w:pPr>
                          <w:spacing w:after="0" w:line="240" w:lineRule="auto"/>
                          <w:jc w:val="center"/>
                          <w:rPr>
                            <w:rFonts w:ascii="Calibri" w:eastAsia="Times New Roman" w:hAnsi="Calibri" w:cs="Calibri"/>
                            <w:color w:val="000000"/>
                          </w:rPr>
                        </w:pPr>
                        <w:r w:rsidRPr="00B31BE5">
                          <w:rPr>
                            <w:rFonts w:ascii="Calibri" w:eastAsia="Times New Roman" w:hAnsi="Calibri" w:cs="Calibri"/>
                            <w:color w:val="000000"/>
                          </w:rPr>
                          <w:t>РАЗДЕО 4 – УПРАВА ГРАДСКЕ ОПШТИНЕ ПАЛИЛУЛА</w:t>
                        </w: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У оквиру раздела 4 – Управа Градске општине Палилула, на позицији број 21. </w:t>
                        </w:r>
                        <w:proofErr w:type="gramStart"/>
                        <w:r w:rsidRPr="00B31BE5">
                          <w:rPr>
                            <w:rFonts w:ascii="Calibri" w:eastAsia="Times New Roman" w:hAnsi="Calibri" w:cs="Calibri"/>
                            <w:color w:val="000000"/>
                          </w:rPr>
                          <w:t>у</w:t>
                        </w:r>
                        <w:proofErr w:type="gramEnd"/>
                        <w:r w:rsidRPr="00B31BE5">
                          <w:rPr>
                            <w:rFonts w:ascii="Calibri" w:eastAsia="Times New Roman" w:hAnsi="Calibri" w:cs="Calibri"/>
                            <w:color w:val="000000"/>
                          </w:rPr>
                          <w:t xml:space="preserve"> оквиру функционалне класификације 620 – Развој заједнице, планирана су средства за набавку и постављање мобилијара.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На позицијама број 22 </w:t>
                        </w:r>
                        <w:proofErr w:type="gramStart"/>
                        <w:r w:rsidRPr="00B31BE5">
                          <w:rPr>
                            <w:rFonts w:ascii="Calibri" w:eastAsia="Times New Roman" w:hAnsi="Calibri" w:cs="Calibri"/>
                            <w:color w:val="000000"/>
                          </w:rPr>
                          <w:t>и  23</w:t>
                        </w:r>
                        <w:proofErr w:type="gramEnd"/>
                        <w:r w:rsidRPr="00B31BE5">
                          <w:rPr>
                            <w:rFonts w:ascii="Calibri" w:eastAsia="Times New Roman" w:hAnsi="Calibri" w:cs="Calibri"/>
                            <w:color w:val="000000"/>
                          </w:rPr>
                          <w:t xml:space="preserve">. </w:t>
                        </w:r>
                        <w:proofErr w:type="gramStart"/>
                        <w:r w:rsidRPr="00B31BE5">
                          <w:rPr>
                            <w:rFonts w:ascii="Calibri" w:eastAsia="Times New Roman" w:hAnsi="Calibri" w:cs="Calibri"/>
                            <w:color w:val="000000"/>
                          </w:rPr>
                          <w:t>у</w:t>
                        </w:r>
                        <w:proofErr w:type="gramEnd"/>
                        <w:r w:rsidRPr="00B31BE5">
                          <w:rPr>
                            <w:rFonts w:ascii="Calibri" w:eastAsia="Times New Roman" w:hAnsi="Calibri" w:cs="Calibri"/>
                            <w:color w:val="000000"/>
                          </w:rPr>
                          <w:t xml:space="preserve"> оквиру фунционалне класификације 630 – Водоснабдевање планирана су средства за текуће одржавање хлоринаторских станица сеоских водовода и за испитивање бактеријско хемијске исправности воде.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На позицији број 24 у оквиру функционалне класификације 411 – Општи економски и комерцијални послови планирана су средства намењена за подстицај у запошљавању незапослених лица са територије Градске општине Палилула.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На поцицији 25. </w:t>
                        </w:r>
                        <w:proofErr w:type="gramStart"/>
                        <w:r w:rsidRPr="00B31BE5">
                          <w:rPr>
                            <w:rFonts w:ascii="Calibri" w:eastAsia="Times New Roman" w:hAnsi="Calibri" w:cs="Calibri"/>
                            <w:color w:val="000000"/>
                          </w:rPr>
                          <w:t>у</w:t>
                        </w:r>
                        <w:proofErr w:type="gramEnd"/>
                        <w:r w:rsidRPr="00B31BE5">
                          <w:rPr>
                            <w:rFonts w:ascii="Calibri" w:eastAsia="Times New Roman" w:hAnsi="Calibri" w:cs="Calibri"/>
                            <w:color w:val="000000"/>
                          </w:rPr>
                          <w:t xml:space="preserve"> оквиру функционалне класификације 510 – Управљање отпадом, планирана су средства  за куповину и уградњу подземних контејнера.</w:t>
                        </w:r>
                      </w:p>
                    </w:tc>
                  </w:tr>
                  <w:tr w:rsidR="00B31BE5" w:rsidRPr="00B31BE5" w:rsidTr="00B31BE5">
                    <w:trPr>
                      <w:trHeight w:val="345"/>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На позицији број 26. </w:t>
                        </w:r>
                        <w:proofErr w:type="gramStart"/>
                        <w:r w:rsidRPr="00B31BE5">
                          <w:rPr>
                            <w:rFonts w:ascii="Calibri" w:eastAsia="Times New Roman" w:hAnsi="Calibri" w:cs="Calibri"/>
                            <w:color w:val="000000"/>
                          </w:rPr>
                          <w:t>у</w:t>
                        </w:r>
                        <w:proofErr w:type="gramEnd"/>
                        <w:r w:rsidRPr="00B31BE5">
                          <w:rPr>
                            <w:rFonts w:ascii="Calibri" w:eastAsia="Times New Roman" w:hAnsi="Calibri" w:cs="Calibri"/>
                            <w:color w:val="000000"/>
                          </w:rPr>
                          <w:t xml:space="preserve"> оквиру функционалне класификације 911 – Предшколско образовање, </w:t>
                        </w:r>
                        <w:r w:rsidRPr="00B31BE5">
                          <w:rPr>
                            <w:rFonts w:ascii="Calibri" w:eastAsia="Times New Roman" w:hAnsi="Calibri" w:cs="Calibri"/>
                            <w:color w:val="000000"/>
                          </w:rPr>
                          <w:lastRenderedPageBreak/>
                          <w:t>планирана су средства намењена за финансирање расхода предшколских установа на територији Градске општине Палилула, везаних за одржавање обданишта.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На позицији број 27. у оквиру функционалне класификације 912 – Основно образовање, планирана су средства на име финансијске помоћи за одржавање основних школа на теритирији Градске општине Палилула.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На позицији број 28. у оквиру функционалне класификације 070 – Социјална помоћ угроженом становништву некласификована на другом месту, планирана су средства за исплату социјалне помоћи у циљу обезбеђења права грађана из области социјалне заштите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На позицији број 29. у оквиру функционалне класификације 820 – Услуге културе, планирана су средства за реализацију утврђених општинских манифестација и других активности из области културе од значаја за Градску општину Палилула.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На позицији број 30 у оквиру функционалне класификације 830 – Услуге емитовања и издаваштва планирана су средства за услуге по уговору, субвенције приватним предузећима и дотације невладиним организацијама из области информисања јавности путем суфинансирања медијских садржаја од јавног интереса.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На позицијама од броја 32. </w:t>
                        </w:r>
                        <w:proofErr w:type="gramStart"/>
                        <w:r w:rsidRPr="00B31BE5">
                          <w:rPr>
                            <w:rFonts w:ascii="Calibri" w:eastAsia="Times New Roman" w:hAnsi="Calibri" w:cs="Calibri"/>
                            <w:color w:val="000000"/>
                          </w:rPr>
                          <w:t>до</w:t>
                        </w:r>
                        <w:proofErr w:type="gramEnd"/>
                        <w:r w:rsidRPr="00B31BE5">
                          <w:rPr>
                            <w:rFonts w:ascii="Calibri" w:eastAsia="Times New Roman" w:hAnsi="Calibri" w:cs="Calibri"/>
                            <w:color w:val="000000"/>
                          </w:rPr>
                          <w:t xml:space="preserve"> броја 50. у оквиру функционалне класификације број 130 – Опште услуге планирана су средства за покриће следећих расхода и издатака: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Плате, додаци и накнаде запослених (планирани су расходи за исплату бруто плата, додатака и накнада запослених лица и постављеног лица на сталном раду).</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Социјални доприноси на терет послодавца (предвиђена је исплата доприноса пензијског и инвалидског осигурања и здравственог осигурања по збирној стопи од 16</w:t>
                        </w:r>
                        <w:proofErr w:type="gramStart"/>
                        <w:r w:rsidRPr="00B31BE5">
                          <w:rPr>
                            <w:rFonts w:ascii="Calibri" w:eastAsia="Times New Roman" w:hAnsi="Calibri" w:cs="Calibri"/>
                            <w:color w:val="000000"/>
                          </w:rPr>
                          <w:t>,15</w:t>
                        </w:r>
                        <w:proofErr w:type="gramEnd"/>
                        <w:r w:rsidRPr="00B31BE5">
                          <w:rPr>
                            <w:rFonts w:ascii="Calibri" w:eastAsia="Times New Roman" w:hAnsi="Calibri" w:cs="Calibri"/>
                            <w:color w:val="000000"/>
                          </w:rPr>
                          <w:t xml:space="preserve"> %).</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Социјална давања запосленима која подразумевају исплату накнада за време одсуствовања с посла на терет фондова (породиљско боловање и боловање преко 30 дана), отпремнине и помоћи, као и помоћ у медицинском лечењу запосленог или чланова уже породице и друге помоћи запосленом.</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Накнаде трошкова за запослене, које се односе на исплате накнада запосленима за превоз на посао и са посла.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Награде запосленима и остали посебни расходи планирани су за исплату јубиларних награда запосленима, који то право стичу у 2023. </w:t>
                        </w:r>
                        <w:proofErr w:type="gramStart"/>
                        <w:r w:rsidRPr="00B31BE5">
                          <w:rPr>
                            <w:rFonts w:ascii="Calibri" w:eastAsia="Times New Roman" w:hAnsi="Calibri" w:cs="Calibri"/>
                            <w:color w:val="000000"/>
                          </w:rPr>
                          <w:t>години</w:t>
                        </w:r>
                        <w:proofErr w:type="gramEnd"/>
                        <w:r w:rsidRPr="00B31BE5">
                          <w:rPr>
                            <w:rFonts w:ascii="Calibri" w:eastAsia="Times New Roman" w:hAnsi="Calibri" w:cs="Calibri"/>
                            <w:color w:val="000000"/>
                          </w:rPr>
                          <w:t>.</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Стални трошкови, који обухватају трошкове платног промета и банкарских услуга, енергетских услуга (електрична енергија и лож уље), комуналних услуга (услуге водовода и канализације, дератизације, одвоз отпада), услуге комуникација (трошкови телефона, интернета, поште и доставе), трошкове осигурања (осигурање возила, опреме и запослених)</w:t>
                        </w:r>
                        <w:proofErr w:type="gramStart"/>
                        <w:r w:rsidRPr="00B31BE5">
                          <w:rPr>
                            <w:rFonts w:ascii="Calibri" w:eastAsia="Times New Roman" w:hAnsi="Calibri" w:cs="Calibri"/>
                            <w:color w:val="000000"/>
                          </w:rPr>
                          <w:t>,  и</w:t>
                        </w:r>
                        <w:proofErr w:type="gramEnd"/>
                        <w:r w:rsidRPr="00B31BE5">
                          <w:rPr>
                            <w:rFonts w:ascii="Calibri" w:eastAsia="Times New Roman" w:hAnsi="Calibri" w:cs="Calibri"/>
                            <w:color w:val="000000"/>
                          </w:rPr>
                          <w:t xml:space="preserve"> остали трошкови.</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Трошкови путовања за службена путовања у земљи и иностранству који подразумевају трошкове дневница (исхране) на службеном путу, превоза, смештаја и осталих трошкова на службеном путу.</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Услуге по уговору, које обухватају средства за покриће расхода по основу административних услуга (услуга превођења и осталих административних услуга), компјутерских услуга (услуга за израду софтвера и осталих компјутерских услуга), услуга образовања и усавршавања запослених ( котизација за семинаре и стручна саветовања, издатака за стручне испите и осталих издатака за стручно образовање), услуга информисања (услуга штампања, услуга рекламе и пропаганде и услуга објављивања тендера и информативних огласа), стручних </w:t>
                        </w:r>
                        <w:r w:rsidRPr="00B31BE5">
                          <w:rPr>
                            <w:rFonts w:ascii="Calibri" w:eastAsia="Times New Roman" w:hAnsi="Calibri" w:cs="Calibri"/>
                            <w:color w:val="000000"/>
                          </w:rPr>
                          <w:lastRenderedPageBreak/>
                          <w:t>услуга, репрезентације и осталих општих услуга.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lastRenderedPageBreak/>
                          <w:t>Специјализоване услуге, намењених за исплату медицинских услуга, геодетских услуга и осталих специјализованих услуга (израда техничке документације будућих пројеката).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Текуће поправке и одржавање, предвиђени за текуће поправке и одржавање зграда и објеката и текуће поправке и одржавање опреме. Ове поправке и одржавања подразумевају зидарске, столарске, молерске радове, радове на крову, водоводу и канализацији, централном грејању, електричним инсталацијама, комуникационим инсталацијама, текуће поправке и одржавање опреме за саобраћај, административне опреме и остале опреме.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Материјал, који подразумева средства за набавку административног материјала (канцеларијски материјал), материјала за образовање и усавршавање запослених (публикације, часописи, гласила), материјала за саобраћај (издаци за гориво, мазива и остали материјал за превозна средства), материјала за образовање, културу и спорт, материјала за одржавање хигијене (хемијска средства за чишћење, инвентар за одржавање хигијене, остали материјал за одржавање хигијене) и материјала за посебне намене (потрошни материјал, резервни делови, алат и инвентар и остали материјал за посебне намене).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Дотације невладиним организацијама које подразумевају издвајања за удружења од општег интереса а након спроведеног јавног позива. </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Порези, обавезне таксе и казне, планирани су за исплату осталих пореза, обавезних такси и новчаних казни.</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Машине и опрема, предвиђена су средства за набавку неопходне опреме која подразумева лизинг опрему за саобраћај, административну опрему (канцеларијска, рачунарска, комуникациона, електронска и фотографска опрема) и опрему за производњу, моторну, непокретну и немоторну опрему.</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Остале некретнине и опрема, планирана су средства за набавку остале опреме.</w:t>
                        </w: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Нематеријална имовина, планирана су средства за набавку софтвера, за потребе обављања и праћења активности из надлежности Градске општине Палилула.</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val="restart"/>
                        <w:tcBorders>
                          <w:top w:val="nil"/>
                          <w:left w:val="nil"/>
                          <w:bottom w:val="nil"/>
                          <w:right w:val="nil"/>
                        </w:tcBorders>
                        <w:shd w:val="clear" w:color="auto" w:fill="auto"/>
                        <w:vAlign w:val="bottom"/>
                        <w:hideMark/>
                      </w:tcPr>
                      <w:p w:rsidR="00B31BE5" w:rsidRPr="00B31BE5" w:rsidRDefault="00B31BE5" w:rsidP="00B31BE5">
                        <w:pPr>
                          <w:spacing w:after="0" w:line="240" w:lineRule="auto"/>
                          <w:jc w:val="both"/>
                          <w:rPr>
                            <w:rFonts w:ascii="Calibri" w:eastAsia="Times New Roman" w:hAnsi="Calibri" w:cs="Calibri"/>
                            <w:color w:val="000000"/>
                          </w:rPr>
                        </w:pPr>
                        <w:r w:rsidRPr="00B31BE5">
                          <w:rPr>
                            <w:rFonts w:ascii="Calibri" w:eastAsia="Times New Roman" w:hAnsi="Calibri" w:cs="Calibri"/>
                            <w:color w:val="000000"/>
                          </w:rPr>
                          <w:t xml:space="preserve">Средства резерве, на позицијаама 51. </w:t>
                        </w:r>
                        <w:proofErr w:type="gramStart"/>
                        <w:r w:rsidRPr="00B31BE5">
                          <w:rPr>
                            <w:rFonts w:ascii="Calibri" w:eastAsia="Times New Roman" w:hAnsi="Calibri" w:cs="Calibri"/>
                            <w:color w:val="000000"/>
                          </w:rPr>
                          <w:t>и</w:t>
                        </w:r>
                        <w:proofErr w:type="gramEnd"/>
                        <w:r w:rsidRPr="00B31BE5">
                          <w:rPr>
                            <w:rFonts w:ascii="Calibri" w:eastAsia="Times New Roman" w:hAnsi="Calibri" w:cs="Calibri"/>
                            <w:color w:val="000000"/>
                          </w:rPr>
                          <w:t xml:space="preserve"> 52. </w:t>
                        </w:r>
                        <w:proofErr w:type="gramStart"/>
                        <w:r w:rsidRPr="00B31BE5">
                          <w:rPr>
                            <w:rFonts w:ascii="Calibri" w:eastAsia="Times New Roman" w:hAnsi="Calibri" w:cs="Calibri"/>
                            <w:color w:val="000000"/>
                          </w:rPr>
                          <w:t>у</w:t>
                        </w:r>
                        <w:proofErr w:type="gramEnd"/>
                        <w:r w:rsidRPr="00B31BE5">
                          <w:rPr>
                            <w:rFonts w:ascii="Calibri" w:eastAsia="Times New Roman" w:hAnsi="Calibri" w:cs="Calibri"/>
                            <w:color w:val="000000"/>
                          </w:rPr>
                          <w:t xml:space="preserve"> оквиру функционалне класификације 112 – Финансијски и фискални послови, планирана су на основу члана 69. </w:t>
                        </w:r>
                        <w:proofErr w:type="gramStart"/>
                        <w:r w:rsidRPr="00B31BE5">
                          <w:rPr>
                            <w:rFonts w:ascii="Calibri" w:eastAsia="Times New Roman" w:hAnsi="Calibri" w:cs="Calibri"/>
                            <w:color w:val="000000"/>
                          </w:rPr>
                          <w:t>и</w:t>
                        </w:r>
                        <w:proofErr w:type="gramEnd"/>
                        <w:r w:rsidRPr="00B31BE5">
                          <w:rPr>
                            <w:rFonts w:ascii="Calibri" w:eastAsia="Times New Roman" w:hAnsi="Calibri" w:cs="Calibri"/>
                            <w:color w:val="000000"/>
                          </w:rPr>
                          <w:t xml:space="preserve"> 70. Закона о буџетском систему којим је предвиђено да се средства сталне буџетске резерве планирају као посебна апропријација за финансирање расхода на име учешћа локалне власти у отклањању последица ванредних околности, а текућа буџетска резерва користи се за непланиране сврхе за које нису утврђене апропријације, или за сврхе за које се у току године покаже да апропријације нису биле довољне.</w:t>
                        </w: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060" w:type="dxa"/>
                        <w:gridSpan w:val="9"/>
                        <w:vMerge/>
                        <w:tcBorders>
                          <w:top w:val="nil"/>
                          <w:left w:val="nil"/>
                          <w:bottom w:val="nil"/>
                          <w:right w:val="nil"/>
                        </w:tcBorders>
                        <w:vAlign w:val="center"/>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3200" w:type="dxa"/>
                        <w:gridSpan w:val="3"/>
                        <w:tcBorders>
                          <w:top w:val="nil"/>
                          <w:left w:val="nil"/>
                          <w:bottom w:val="nil"/>
                          <w:right w:val="nil"/>
                        </w:tcBorders>
                        <w:shd w:val="clear" w:color="auto" w:fill="auto"/>
                        <w:noWrap/>
                        <w:vAlign w:val="bottom"/>
                        <w:hideMark/>
                      </w:tcPr>
                      <w:p w:rsidR="00B31BE5" w:rsidRPr="00B31BE5" w:rsidRDefault="00B31BE5" w:rsidP="00B31BE5">
                        <w:pPr>
                          <w:spacing w:after="0" w:line="240" w:lineRule="auto"/>
                          <w:jc w:val="center"/>
                          <w:rPr>
                            <w:rFonts w:ascii="Calibri" w:eastAsia="Times New Roman" w:hAnsi="Calibri" w:cs="Calibri"/>
                            <w:color w:val="000000"/>
                          </w:rPr>
                        </w:pPr>
                        <w:r w:rsidRPr="00B31BE5">
                          <w:rPr>
                            <w:rFonts w:ascii="Calibri" w:eastAsia="Times New Roman" w:hAnsi="Calibri" w:cs="Calibri"/>
                            <w:color w:val="000000"/>
                          </w:rPr>
                          <w:t>Шеф одсека за финансије</w:t>
                        </w: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120" w:type="dxa"/>
                        <w:tcBorders>
                          <w:top w:val="nil"/>
                          <w:left w:val="nil"/>
                          <w:bottom w:val="single" w:sz="4" w:space="0" w:color="000000"/>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r w:rsidRPr="00B31BE5">
                          <w:rPr>
                            <w:rFonts w:ascii="Calibri" w:eastAsia="Times New Roman" w:hAnsi="Calibri" w:cs="Calibri"/>
                            <w:color w:val="000000"/>
                          </w:rPr>
                          <w:t> </w:t>
                        </w:r>
                      </w:p>
                    </w:tc>
                    <w:tc>
                      <w:tcPr>
                        <w:tcW w:w="960" w:type="dxa"/>
                        <w:tcBorders>
                          <w:top w:val="nil"/>
                          <w:left w:val="nil"/>
                          <w:bottom w:val="single" w:sz="4" w:space="0" w:color="000000"/>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r w:rsidRPr="00B31BE5">
                          <w:rPr>
                            <w:rFonts w:ascii="Calibri" w:eastAsia="Times New Roman" w:hAnsi="Calibri" w:cs="Calibri"/>
                            <w:color w:val="000000"/>
                          </w:rPr>
                          <w:t> </w:t>
                        </w:r>
                      </w:p>
                    </w:tc>
                    <w:tc>
                      <w:tcPr>
                        <w:tcW w:w="1120" w:type="dxa"/>
                        <w:tcBorders>
                          <w:top w:val="nil"/>
                          <w:left w:val="nil"/>
                          <w:bottom w:val="single" w:sz="4" w:space="0" w:color="000000"/>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r w:rsidRPr="00B31BE5">
                          <w:rPr>
                            <w:rFonts w:ascii="Calibri" w:eastAsia="Times New Roman" w:hAnsi="Calibri" w:cs="Calibri"/>
                            <w:color w:val="000000"/>
                          </w:rPr>
                          <w:t> </w:t>
                        </w:r>
                      </w:p>
                    </w:tc>
                  </w:tr>
                  <w:tr w:rsidR="00B31BE5" w:rsidRPr="00B31BE5" w:rsidTr="00B31BE5">
                    <w:trPr>
                      <w:trHeight w:val="300"/>
                    </w:trPr>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10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31BE5" w:rsidRPr="00B31BE5" w:rsidRDefault="00B31BE5" w:rsidP="00B31BE5">
                        <w:pPr>
                          <w:spacing w:after="0" w:line="240" w:lineRule="auto"/>
                          <w:rPr>
                            <w:rFonts w:ascii="Calibri" w:eastAsia="Times New Roman" w:hAnsi="Calibri" w:cs="Calibri"/>
                            <w:color w:val="000000"/>
                          </w:rPr>
                        </w:pPr>
                      </w:p>
                    </w:tc>
                    <w:tc>
                      <w:tcPr>
                        <w:tcW w:w="3200" w:type="dxa"/>
                        <w:gridSpan w:val="3"/>
                        <w:tcBorders>
                          <w:top w:val="single" w:sz="4" w:space="0" w:color="000000"/>
                          <w:left w:val="nil"/>
                          <w:bottom w:val="nil"/>
                          <w:right w:val="nil"/>
                        </w:tcBorders>
                        <w:shd w:val="clear" w:color="auto" w:fill="auto"/>
                        <w:noWrap/>
                        <w:vAlign w:val="bottom"/>
                        <w:hideMark/>
                      </w:tcPr>
                      <w:p w:rsidR="00B31BE5" w:rsidRPr="00B31BE5" w:rsidRDefault="00B31BE5" w:rsidP="00B31BE5">
                        <w:pPr>
                          <w:spacing w:after="0" w:line="240" w:lineRule="auto"/>
                          <w:jc w:val="center"/>
                          <w:rPr>
                            <w:rFonts w:ascii="Calibri" w:eastAsia="Times New Roman" w:hAnsi="Calibri" w:cs="Calibri"/>
                            <w:color w:val="000000"/>
                          </w:rPr>
                        </w:pPr>
                        <w:r w:rsidRPr="00B31BE5">
                          <w:rPr>
                            <w:rFonts w:ascii="Calibri" w:eastAsia="Times New Roman" w:hAnsi="Calibri" w:cs="Calibri"/>
                            <w:color w:val="000000"/>
                          </w:rPr>
                          <w:t>Иван Драгишић</w:t>
                        </w:r>
                      </w:p>
                    </w:tc>
                  </w:tr>
                </w:tbl>
                <w:p w:rsidR="00B31BE5" w:rsidRPr="004436A7" w:rsidRDefault="00B31BE5" w:rsidP="004436A7">
                  <w:pPr>
                    <w:spacing w:after="0" w:line="240" w:lineRule="auto"/>
                    <w:jc w:val="both"/>
                    <w:rPr>
                      <w:rFonts w:ascii="Calibri" w:eastAsia="Times New Roman" w:hAnsi="Calibri" w:cs="Calibri"/>
                      <w:color w:val="000000"/>
                    </w:rPr>
                  </w:pPr>
                </w:p>
              </w:tc>
            </w:tr>
            <w:tr w:rsidR="004436A7" w:rsidRPr="004436A7" w:rsidTr="004436A7">
              <w:trPr>
                <w:trHeight w:val="300"/>
              </w:trPr>
              <w:tc>
                <w:tcPr>
                  <w:tcW w:w="9076" w:type="dxa"/>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r w:rsidR="004436A7" w:rsidRPr="004436A7" w:rsidTr="004436A7">
              <w:trPr>
                <w:trHeight w:val="300"/>
              </w:trPr>
              <w:tc>
                <w:tcPr>
                  <w:tcW w:w="9076" w:type="dxa"/>
                  <w:vMerge/>
                  <w:tcBorders>
                    <w:top w:val="nil"/>
                    <w:left w:val="nil"/>
                    <w:bottom w:val="nil"/>
                    <w:right w:val="nil"/>
                  </w:tcBorders>
                  <w:vAlign w:val="center"/>
                  <w:hideMark/>
                </w:tcPr>
                <w:p w:rsidR="004436A7" w:rsidRPr="004436A7" w:rsidRDefault="004436A7" w:rsidP="004436A7">
                  <w:pPr>
                    <w:spacing w:after="0" w:line="240" w:lineRule="auto"/>
                    <w:rPr>
                      <w:rFonts w:ascii="Calibri" w:eastAsia="Times New Roman" w:hAnsi="Calibri" w:cs="Calibri"/>
                      <w:color w:val="000000"/>
                    </w:rPr>
                  </w:pPr>
                </w:p>
              </w:tc>
            </w:tr>
          </w:tbl>
          <w:p w:rsidR="004436A7" w:rsidRPr="004436A7" w:rsidRDefault="004436A7" w:rsidP="004436A7">
            <w:pPr>
              <w:spacing w:after="0" w:line="240" w:lineRule="auto"/>
              <w:jc w:val="both"/>
              <w:rPr>
                <w:rFonts w:ascii="Calibri" w:eastAsia="Times New Roman" w:hAnsi="Calibri" w:cs="Calibri"/>
                <w:color w:val="000000"/>
              </w:rPr>
            </w:pPr>
          </w:p>
        </w:tc>
      </w:tr>
      <w:tr w:rsidR="004436A7" w:rsidRPr="004436A7" w:rsidTr="004436A7">
        <w:trPr>
          <w:trHeight w:val="270"/>
        </w:trPr>
        <w:tc>
          <w:tcPr>
            <w:tcW w:w="9076" w:type="dxa"/>
            <w:gridSpan w:val="9"/>
            <w:vMerge/>
            <w:tcBorders>
              <w:top w:val="nil"/>
              <w:left w:val="nil"/>
              <w:bottom w:val="nil"/>
              <w:right w:val="nil"/>
            </w:tcBorders>
            <w:vAlign w:val="center"/>
          </w:tcPr>
          <w:p w:rsidR="004436A7" w:rsidRPr="004436A7" w:rsidRDefault="004436A7" w:rsidP="004436A7">
            <w:pPr>
              <w:spacing w:after="0" w:line="240" w:lineRule="auto"/>
              <w:jc w:val="both"/>
              <w:rPr>
                <w:rFonts w:ascii="Calibri" w:eastAsia="Times New Roman" w:hAnsi="Calibri" w:cs="Calibri"/>
                <w:color w:val="000000"/>
              </w:rPr>
            </w:pPr>
          </w:p>
        </w:tc>
      </w:tr>
      <w:tr w:rsidR="004436A7" w:rsidRPr="004436A7" w:rsidTr="004436A7">
        <w:trPr>
          <w:trHeight w:val="269"/>
        </w:trPr>
        <w:tc>
          <w:tcPr>
            <w:tcW w:w="9076" w:type="dxa"/>
            <w:gridSpan w:val="9"/>
            <w:vMerge/>
            <w:tcBorders>
              <w:top w:val="nil"/>
              <w:left w:val="nil"/>
              <w:bottom w:val="nil"/>
              <w:right w:val="nil"/>
            </w:tcBorders>
            <w:vAlign w:val="center"/>
          </w:tcPr>
          <w:p w:rsidR="004436A7" w:rsidRPr="004436A7" w:rsidRDefault="004436A7" w:rsidP="004436A7">
            <w:pPr>
              <w:spacing w:after="0" w:line="240" w:lineRule="auto"/>
              <w:jc w:val="both"/>
              <w:rPr>
                <w:rFonts w:ascii="Calibri" w:eastAsia="Times New Roman" w:hAnsi="Calibri" w:cs="Calibri"/>
                <w:color w:val="000000"/>
              </w:rPr>
            </w:pPr>
          </w:p>
        </w:tc>
      </w:tr>
      <w:tr w:rsidR="004436A7" w:rsidRPr="004436A7" w:rsidTr="004436A7">
        <w:trPr>
          <w:trHeight w:val="270"/>
        </w:trPr>
        <w:tc>
          <w:tcPr>
            <w:tcW w:w="9076" w:type="dxa"/>
            <w:gridSpan w:val="9"/>
            <w:vMerge/>
            <w:tcBorders>
              <w:top w:val="nil"/>
              <w:left w:val="nil"/>
              <w:bottom w:val="nil"/>
              <w:right w:val="nil"/>
            </w:tcBorders>
            <w:vAlign w:val="center"/>
          </w:tcPr>
          <w:p w:rsidR="004436A7" w:rsidRPr="004436A7" w:rsidRDefault="004436A7" w:rsidP="004436A7">
            <w:pPr>
              <w:spacing w:after="0" w:line="240" w:lineRule="auto"/>
              <w:jc w:val="both"/>
              <w:rPr>
                <w:rFonts w:ascii="Calibri" w:eastAsia="Times New Roman" w:hAnsi="Calibri" w:cs="Calibri"/>
                <w:color w:val="000000"/>
              </w:rPr>
            </w:pPr>
          </w:p>
        </w:tc>
      </w:tr>
    </w:tbl>
    <w:p w:rsidR="004436A7" w:rsidRDefault="004436A7" w:rsidP="00894784"/>
    <w:sectPr w:rsidR="00443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A7"/>
    <w:rsid w:val="004436A7"/>
    <w:rsid w:val="00507A2B"/>
    <w:rsid w:val="006F604A"/>
    <w:rsid w:val="00894784"/>
    <w:rsid w:val="00A80437"/>
    <w:rsid w:val="00B31BE5"/>
    <w:rsid w:val="00F3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2">
      <w:bodyDiv w:val="1"/>
      <w:marLeft w:val="0"/>
      <w:marRight w:val="0"/>
      <w:marTop w:val="0"/>
      <w:marBottom w:val="0"/>
      <w:divBdr>
        <w:top w:val="none" w:sz="0" w:space="0" w:color="auto"/>
        <w:left w:val="none" w:sz="0" w:space="0" w:color="auto"/>
        <w:bottom w:val="none" w:sz="0" w:space="0" w:color="auto"/>
        <w:right w:val="none" w:sz="0" w:space="0" w:color="auto"/>
      </w:divBdr>
    </w:div>
    <w:div w:id="30348215">
      <w:bodyDiv w:val="1"/>
      <w:marLeft w:val="0"/>
      <w:marRight w:val="0"/>
      <w:marTop w:val="0"/>
      <w:marBottom w:val="0"/>
      <w:divBdr>
        <w:top w:val="none" w:sz="0" w:space="0" w:color="auto"/>
        <w:left w:val="none" w:sz="0" w:space="0" w:color="auto"/>
        <w:bottom w:val="none" w:sz="0" w:space="0" w:color="auto"/>
        <w:right w:val="none" w:sz="0" w:space="0" w:color="auto"/>
      </w:divBdr>
    </w:div>
    <w:div w:id="183062861">
      <w:bodyDiv w:val="1"/>
      <w:marLeft w:val="0"/>
      <w:marRight w:val="0"/>
      <w:marTop w:val="0"/>
      <w:marBottom w:val="0"/>
      <w:divBdr>
        <w:top w:val="none" w:sz="0" w:space="0" w:color="auto"/>
        <w:left w:val="none" w:sz="0" w:space="0" w:color="auto"/>
        <w:bottom w:val="none" w:sz="0" w:space="0" w:color="auto"/>
        <w:right w:val="none" w:sz="0" w:space="0" w:color="auto"/>
      </w:divBdr>
    </w:div>
    <w:div w:id="362481855">
      <w:bodyDiv w:val="1"/>
      <w:marLeft w:val="0"/>
      <w:marRight w:val="0"/>
      <w:marTop w:val="0"/>
      <w:marBottom w:val="0"/>
      <w:divBdr>
        <w:top w:val="none" w:sz="0" w:space="0" w:color="auto"/>
        <w:left w:val="none" w:sz="0" w:space="0" w:color="auto"/>
        <w:bottom w:val="none" w:sz="0" w:space="0" w:color="auto"/>
        <w:right w:val="none" w:sz="0" w:space="0" w:color="auto"/>
      </w:divBdr>
    </w:div>
    <w:div w:id="517737623">
      <w:bodyDiv w:val="1"/>
      <w:marLeft w:val="0"/>
      <w:marRight w:val="0"/>
      <w:marTop w:val="0"/>
      <w:marBottom w:val="0"/>
      <w:divBdr>
        <w:top w:val="none" w:sz="0" w:space="0" w:color="auto"/>
        <w:left w:val="none" w:sz="0" w:space="0" w:color="auto"/>
        <w:bottom w:val="none" w:sz="0" w:space="0" w:color="auto"/>
        <w:right w:val="none" w:sz="0" w:space="0" w:color="auto"/>
      </w:divBdr>
    </w:div>
    <w:div w:id="619918578">
      <w:bodyDiv w:val="1"/>
      <w:marLeft w:val="0"/>
      <w:marRight w:val="0"/>
      <w:marTop w:val="0"/>
      <w:marBottom w:val="0"/>
      <w:divBdr>
        <w:top w:val="none" w:sz="0" w:space="0" w:color="auto"/>
        <w:left w:val="none" w:sz="0" w:space="0" w:color="auto"/>
        <w:bottom w:val="none" w:sz="0" w:space="0" w:color="auto"/>
        <w:right w:val="none" w:sz="0" w:space="0" w:color="auto"/>
      </w:divBdr>
    </w:div>
    <w:div w:id="775323290">
      <w:bodyDiv w:val="1"/>
      <w:marLeft w:val="0"/>
      <w:marRight w:val="0"/>
      <w:marTop w:val="0"/>
      <w:marBottom w:val="0"/>
      <w:divBdr>
        <w:top w:val="none" w:sz="0" w:space="0" w:color="auto"/>
        <w:left w:val="none" w:sz="0" w:space="0" w:color="auto"/>
        <w:bottom w:val="none" w:sz="0" w:space="0" w:color="auto"/>
        <w:right w:val="none" w:sz="0" w:space="0" w:color="auto"/>
      </w:divBdr>
    </w:div>
    <w:div w:id="1149664927">
      <w:bodyDiv w:val="1"/>
      <w:marLeft w:val="0"/>
      <w:marRight w:val="0"/>
      <w:marTop w:val="0"/>
      <w:marBottom w:val="0"/>
      <w:divBdr>
        <w:top w:val="none" w:sz="0" w:space="0" w:color="auto"/>
        <w:left w:val="none" w:sz="0" w:space="0" w:color="auto"/>
        <w:bottom w:val="none" w:sz="0" w:space="0" w:color="auto"/>
        <w:right w:val="none" w:sz="0" w:space="0" w:color="auto"/>
      </w:divBdr>
    </w:div>
    <w:div w:id="20717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3</cp:revision>
  <dcterms:created xsi:type="dcterms:W3CDTF">2023-08-23T06:40:00Z</dcterms:created>
  <dcterms:modified xsi:type="dcterms:W3CDTF">2023-08-23T07:02:00Z</dcterms:modified>
</cp:coreProperties>
</file>