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center"/>
        <w:rPr>
          <w:rFonts w:ascii="Tahoma" w:hAnsi="Tahoma" w:cs="Tahoma"/>
          <w:b/>
          <w:bCs/>
          <w:sz w:val="24"/>
          <w:szCs w:val="24"/>
          <w:lang w:val="sr-RS"/>
        </w:rPr>
      </w:pPr>
      <w:r>
        <w:rPr>
          <w:rFonts w:cs="Tahoma" w:ascii="Tahoma" w:hAnsi="Tahoma"/>
          <w:b/>
          <w:bCs/>
          <w:sz w:val="24"/>
          <w:szCs w:val="24"/>
          <w:lang w:val="sr-RS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571500" cy="1097915"/>
            <wp:effectExtent l="0" t="0" r="0" b="0"/>
            <wp:wrapNone/>
            <wp:docPr id="1" name="Picture 1" descr="GRB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MEMORAND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sz w:val="24"/>
          <w:szCs w:val="24"/>
          <w:lang w:val="sr-RS"/>
        </w:rPr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  <w:t>РЕПУБЛИКА СРБИЈА</w:t>
        <w:tab/>
        <w:tab/>
        <w:tab/>
        <w:tab/>
        <w:tab/>
        <w:t xml:space="preserve"> </w:t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  <w:t>ГРАД НИШ</w:t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  <w:t>ГРАДСКА ОПШТИНА ПАЛИЛУЛА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lang w:val="sr-RS"/>
        </w:rPr>
      </w:pPr>
      <w:r>
        <w:rPr>
          <w:rFonts w:cs="Calibri" w:cstheme="minorHAnsi"/>
          <w:b/>
          <w:bCs/>
          <w:lang w:val="sr-RS"/>
        </w:rPr>
        <w:t>УПРАВА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lang w:val="sr-RS"/>
        </w:rPr>
      </w:pPr>
      <w:r>
        <w:rPr>
          <w:rFonts w:cs="Calibri" w:cstheme="minorHAnsi"/>
          <w:b/>
          <w:bCs/>
          <w:lang w:val="sr-RS"/>
        </w:rPr>
        <w:t>Одсек за финансије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lang w:val="sr-RS"/>
        </w:rPr>
      </w:pPr>
      <w:r>
        <w:rPr>
          <w:rFonts w:cs="Calibri" w:cstheme="minorHAnsi"/>
          <w:b/>
          <w:bCs/>
          <w:lang w:val="sr-RS"/>
        </w:rPr>
        <w:t>Број:</w:t>
      </w:r>
      <w:r>
        <w:rPr>
          <w:rFonts w:cs="Calibri" w:cstheme="minorHAnsi"/>
          <w:b/>
          <w:bCs/>
        </w:rPr>
        <w:t xml:space="preserve">    </w:t>
      </w:r>
      <w:r>
        <w:rPr>
          <w:rFonts w:cs="Calibri" w:cstheme="minorHAnsi"/>
          <w:b/>
          <w:bCs/>
          <w:lang w:val="en-US"/>
        </w:rPr>
        <w:t>153</w:t>
      </w:r>
      <w:r>
        <w:rPr>
          <w:rFonts w:cs="Calibri" w:cstheme="minorHAnsi"/>
          <w:b/>
          <w:bCs/>
          <w:lang w:val="sr-RS"/>
        </w:rPr>
        <w:t>/2</w:t>
      </w:r>
      <w:r>
        <w:rPr>
          <w:rFonts w:cs="Calibri" w:cstheme="minorHAnsi"/>
          <w:b/>
          <w:bCs/>
          <w:lang w:val="en-US"/>
        </w:rPr>
        <w:t>3</w:t>
      </w:r>
      <w:r>
        <w:rPr>
          <w:rFonts w:cs="Calibri" w:cstheme="minorHAnsi"/>
          <w:b/>
          <w:bCs/>
          <w:lang w:val="sr-RS"/>
        </w:rPr>
        <w:t>-04/3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lang w:val="sr-RS"/>
        </w:rPr>
        <w:t xml:space="preserve">Датум: </w:t>
      </w:r>
      <w:r>
        <w:rPr>
          <w:rFonts w:cs="Calibri" w:cstheme="minorHAnsi"/>
          <w:b/>
          <w:bCs/>
        </w:rPr>
        <w:t>1</w:t>
      </w:r>
      <w:r>
        <w:rPr>
          <w:rFonts w:cs="Calibri" w:cstheme="minorHAnsi"/>
          <w:b/>
          <w:bCs/>
        </w:rPr>
        <w:t>4</w:t>
      </w:r>
      <w:r>
        <w:rPr>
          <w:rFonts w:cs="Calibri" w:cstheme="minorHAnsi"/>
          <w:b/>
          <w:bCs/>
          <w:lang w:val="sr-RS"/>
        </w:rPr>
        <w:t>.0</w:t>
      </w:r>
      <w:r>
        <w:rPr>
          <w:rFonts w:cs="Calibri" w:cstheme="minorHAnsi"/>
          <w:b/>
          <w:bCs/>
        </w:rPr>
        <w:t>7</w:t>
      </w:r>
      <w:r>
        <w:rPr>
          <w:rFonts w:cs="Calibri" w:cstheme="minorHAnsi"/>
          <w:b/>
          <w:bCs/>
          <w:lang w:val="sr-RS"/>
        </w:rPr>
        <w:t>.2022.године</w:t>
      </w:r>
    </w:p>
    <w:p>
      <w:pPr>
        <w:pStyle w:val="Normal"/>
        <w:spacing w:lineRule="auto" w:line="240" w:before="0" w:after="0"/>
        <w:ind w:firstLine="708"/>
        <w:jc w:val="center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cs="Calibri" w:cstheme="minorHAnsi"/>
          <w:b/>
          <w:bCs/>
          <w:sz w:val="24"/>
          <w:szCs w:val="24"/>
          <w:lang w:val="sr-RS"/>
        </w:rPr>
      </w:pPr>
      <w:r>
        <w:rPr>
          <w:rFonts w:cs="Calibri" w:cstheme="minorHAnsi"/>
          <w:b/>
          <w:bCs/>
          <w:sz w:val="24"/>
          <w:szCs w:val="24"/>
          <w:lang w:val="sr-RS"/>
        </w:rPr>
      </w:r>
    </w:p>
    <w:p>
      <w:pPr>
        <w:pStyle w:val="Normal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  <w:t>Предмет: Упутство за припрему буџета општине Палилула за 202</w:t>
      </w:r>
      <w:r>
        <w:rPr>
          <w:sz w:val="28"/>
          <w:szCs w:val="28"/>
          <w:lang w:val="sr-RS"/>
        </w:rPr>
        <w:t>4</w:t>
      </w:r>
      <w:r>
        <w:rPr>
          <w:sz w:val="28"/>
          <w:szCs w:val="28"/>
          <w:lang w:val="sr-RS"/>
        </w:rPr>
        <w:t>.годину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 складу са чланом 3</w:t>
      </w:r>
      <w:r>
        <w:rPr>
          <w:rFonts w:cs="Calibri" w:cstheme="minorHAnsi"/>
          <w:sz w:val="24"/>
          <w:szCs w:val="24"/>
        </w:rPr>
        <w:t>6</w:t>
      </w:r>
      <w:r>
        <w:rPr>
          <w:rFonts w:cs="Calibri" w:cstheme="minorHAnsi"/>
          <w:sz w:val="24"/>
          <w:szCs w:val="24"/>
          <w:lang w:val="sr-RS"/>
        </w:rPr>
        <w:t>а</w:t>
      </w:r>
      <w:r>
        <w:rPr>
          <w:rFonts w:cs="Calibri" w:cstheme="minorHAnsi"/>
          <w:sz w:val="24"/>
          <w:szCs w:val="24"/>
        </w:rPr>
        <w:t xml:space="preserve"> Закона о буџетском систему („Службени гласник РС“, бр. 54/09,73/2010, 101/2010, 101/2011, 93/2012, 62/2013, 63/2013 - </w:t>
      </w:r>
      <w:r>
        <w:rPr>
          <w:rFonts w:cs="Calibri" w:cstheme="minorHAnsi"/>
          <w:sz w:val="24"/>
          <w:szCs w:val="24"/>
          <w:lang w:val="sr-RS"/>
        </w:rPr>
        <w:t>испр</w:t>
      </w:r>
      <w:r>
        <w:rPr>
          <w:rFonts w:cs="Calibri" w:cstheme="minorHAnsi"/>
          <w:sz w:val="24"/>
          <w:szCs w:val="24"/>
        </w:rPr>
        <w:t xml:space="preserve"> 108/2013, 142/2014, 68/2015 – др.Закон, 103/2015, 99/2016, 113/2017, 95/2018, 31/2019, 72/2019, 149/2020,</w:t>
      </w:r>
      <w:r>
        <w:rPr>
          <w:rFonts w:cs="Calibri" w:cstheme="minorHAnsi"/>
          <w:sz w:val="24"/>
          <w:szCs w:val="24"/>
          <w:lang w:val="sr-RS"/>
        </w:rPr>
        <w:t xml:space="preserve"> 118/2021,</w:t>
      </w:r>
      <w:r>
        <w:rPr>
          <w:rFonts w:cs="Calibri" w:cstheme="minorHAnsi"/>
          <w:sz w:val="24"/>
          <w:szCs w:val="24"/>
          <w:lang w:val="sr-RS"/>
        </w:rPr>
        <w:t>138/2022 и 118/2021 -др.закон</w:t>
      </w:r>
      <w:r>
        <w:rPr>
          <w:rFonts w:cs="Calibri" w:cstheme="minorHAnsi"/>
          <w:sz w:val="24"/>
          <w:szCs w:val="24"/>
        </w:rPr>
        <w:t>) локални орган управе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>надлежан за финансије доставља Упутство за припрему нацрта буџета локалне власти за 202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sz w:val="24"/>
          <w:szCs w:val="24"/>
          <w:lang w:val="sr-RS"/>
        </w:rPr>
        <w:t xml:space="preserve">и </w:t>
      </w:r>
      <w:r>
        <w:rPr>
          <w:rFonts w:cs="Calibri" w:cstheme="minorHAnsi"/>
          <w:sz w:val="24"/>
          <w:szCs w:val="24"/>
        </w:rPr>
        <w:t>наредне две фискалне године.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Упутство за припрему „ Одлуке о буџету градске општине Палилула за 202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  <w:lang w:val="sr-RS"/>
        </w:rPr>
        <w:t>. годину“ достављамо на основу „Упутства за припрему одлуке о буџету локалне власти за 202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  <w:lang w:val="sr-RS"/>
        </w:rPr>
        <w:t>.годину и пројекција за 202</w:t>
      </w:r>
      <w:r>
        <w:rPr>
          <w:rFonts w:cs="Calibri" w:cstheme="minorHAnsi"/>
          <w:sz w:val="24"/>
          <w:szCs w:val="24"/>
          <w:lang w:val="sr-RS"/>
        </w:rPr>
        <w:t>5</w:t>
      </w:r>
      <w:r>
        <w:rPr>
          <w:rFonts w:cs="Calibri" w:cstheme="minorHAnsi"/>
          <w:sz w:val="24"/>
          <w:szCs w:val="24"/>
          <w:lang w:val="sr-RS"/>
        </w:rPr>
        <w:t xml:space="preserve"> и 202</w:t>
      </w:r>
      <w:r>
        <w:rPr>
          <w:rFonts w:cs="Calibri" w:cstheme="minorHAnsi"/>
          <w:sz w:val="24"/>
          <w:szCs w:val="24"/>
          <w:lang w:val="sr-RS"/>
        </w:rPr>
        <w:t>6</w:t>
      </w:r>
      <w:r>
        <w:rPr>
          <w:rFonts w:cs="Calibri" w:cstheme="minorHAnsi"/>
          <w:sz w:val="24"/>
          <w:szCs w:val="24"/>
          <w:lang w:val="sr-RS"/>
        </w:rPr>
        <w:t xml:space="preserve"> годину“ број  које је донео Министар финансија </w:t>
      </w:r>
      <w:r>
        <w:rPr>
          <w:rFonts w:cs="Calibri" w:cstheme="minorHAnsi"/>
          <w:sz w:val="24"/>
          <w:szCs w:val="24"/>
        </w:rPr>
        <w:t>05.07.202</w:t>
      </w:r>
      <w:r>
        <w:rPr>
          <w:rFonts w:cs="Calibri" w:cstheme="minorHAnsi"/>
          <w:sz w:val="24"/>
          <w:szCs w:val="24"/>
          <w:lang w:val="sr-RS"/>
        </w:rPr>
        <w:t>3</w:t>
      </w:r>
      <w:r>
        <w:rPr>
          <w:rFonts w:cs="Calibri" w:cstheme="minorHAnsi"/>
          <w:sz w:val="24"/>
          <w:szCs w:val="24"/>
        </w:rPr>
        <w:t>.</w:t>
      </w:r>
      <w:r>
        <w:rPr>
          <w:rFonts w:cs="Calibri" w:cstheme="minorHAnsi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Буџетски корисници треба да квалитетно и детаљно припреме своје предлоге финансијских планова на основу параметара које буду добили овим Упутством.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CIDFont+F4" w:hAnsi="CIDFont+F4" w:cs="CIDFont+F4"/>
          <w:sz w:val="23"/>
          <w:szCs w:val="23"/>
        </w:rPr>
      </w:pPr>
      <w:r>
        <w:rPr>
          <w:rFonts w:cs="CIDFont+F4" w:ascii="CIDFont+F4" w:hAnsi="CIDFont+F4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  <w:u w:val="single"/>
          <w:lang w:val="sr-RS"/>
        </w:rPr>
      </w:pPr>
      <w:r>
        <w:rPr>
          <w:rFonts w:cs="Calibri" w:cstheme="minorHAnsi"/>
          <w:sz w:val="26"/>
          <w:szCs w:val="26"/>
          <w:u w:val="single"/>
          <w:lang w:val="sr-RS"/>
        </w:rPr>
        <w:t>Програмска структура буџета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  <w:u w:val="single"/>
          <w:lang w:val="sr-RS"/>
        </w:rPr>
      </w:pPr>
      <w:r>
        <w:rPr>
          <w:rFonts w:cs="Calibri" w:cstheme="minorHAnsi"/>
          <w:sz w:val="24"/>
          <w:szCs w:val="24"/>
          <w:u w:val="single"/>
          <w:lang w:val="sr-RS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val="sr-RS"/>
        </w:rPr>
        <w:tab/>
      </w:r>
      <w:r>
        <w:rPr>
          <w:rFonts w:cs="Calibri" w:ascii="Calibri" w:hAnsi="Calibri" w:asciiTheme="minorHAnsi" w:cstheme="minorHAnsi" w:hAnsiTheme="minorHAnsi"/>
        </w:rPr>
        <w:t>Упутство за израду програмског буџета, као и Анекс 5 којим је дефинисана униформна програмска струкура буџета ЈЛС за израду одлуке о буџету ЈЛС за 202</w:t>
      </w:r>
      <w:r>
        <w:rPr>
          <w:rFonts w:cs="Calibri" w:ascii="Calibri" w:hAnsi="Calibri" w:asciiTheme="minorHAnsi" w:cstheme="minorHAnsi" w:hAnsiTheme="minorHAnsi"/>
          <w:lang w:val="sr-RS"/>
        </w:rPr>
        <w:t>4</w:t>
      </w:r>
      <w:r>
        <w:rPr>
          <w:rFonts w:cs="Calibri" w:ascii="Calibri" w:hAnsi="Calibri" w:asciiTheme="minorHAnsi" w:cstheme="minorHAnsi" w:hAnsiTheme="minorHAnsi"/>
        </w:rPr>
        <w:t xml:space="preserve">. </w:t>
      </w:r>
      <w:r>
        <w:rPr>
          <w:rFonts w:cs="Calibri" w:ascii="Calibri" w:hAnsi="Calibri" w:asciiTheme="minorHAnsi" w:cstheme="minorHAnsi" w:hAnsiTheme="minorHAnsi"/>
          <w:lang w:val="sr-RS"/>
        </w:rPr>
        <w:t>годину</w:t>
      </w:r>
      <w:r>
        <w:rPr>
          <w:rFonts w:cs="Calibri" w:ascii="Calibri" w:hAnsi="Calibri" w:asciiTheme="minorHAnsi" w:cstheme="minorHAnsi" w:hAnsiTheme="minorHAnsi"/>
        </w:rPr>
        <w:t xml:space="preserve"> и документ који садржи циљеве програма и програмских активности и листу униформних индикатора могу се наћи на сајту Министарства финансија (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</w:rPr>
          <w:t>www.mfin.gov.rs</w:t>
        </w:r>
      </w:hyperlink>
      <w:r>
        <w:rPr>
          <w:rFonts w:cs="Calibri" w:ascii="Calibri" w:hAnsi="Calibri" w:asciiTheme="minorHAnsi" w:cstheme="minorHAnsi" w:hAnsiTheme="minorHAnsi"/>
        </w:rPr>
        <w:t>).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6"/>
          <w:szCs w:val="26"/>
          <w:u w:val="single"/>
          <w:lang w:val="sr-RS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u w:val="single"/>
          <w:lang w:val="sr-RS"/>
        </w:rPr>
        <w:t>Опште напомене за припрему одлуке о буџету локалне власти</w:t>
      </w:r>
    </w:p>
    <w:p>
      <w:pPr>
        <w:pStyle w:val="Default"/>
        <w:rPr/>
      </w:pPr>
      <w:r>
        <w:rPr/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Arial" w:hAnsi="Arial" w:cstheme="minorHAnsi"/>
          <w:sz w:val="24"/>
          <w:szCs w:val="24"/>
        </w:rPr>
        <w:t>У</w:t>
      </w:r>
      <w:r>
        <w:rPr>
          <w:rFonts w:ascii="Arial" w:hAnsi="Arial"/>
          <w:sz w:val="24"/>
          <w:szCs w:val="24"/>
        </w:rPr>
        <w:t xml:space="preserve"> вези увођења принципа родно одговорног буџетирања у буџетски процес указујемо да је неопходно да надлежни орган локалне власти на годишњем нивоу донесе план поступног увођења родно одговорног буџетирања, којим ће одредити </w:t>
      </w:r>
      <w:r>
        <w:rPr>
          <w:rFonts w:ascii="Arial" w:hAnsi="Arial"/>
          <w:b/>
          <w:sz w:val="24"/>
          <w:szCs w:val="24"/>
        </w:rPr>
        <w:t xml:space="preserve">једног или више корисника буџетских средстава и један или више програма опредељеног буџетског корисника за који/које ће се дефинисати (на нивоу програма и/или програмске активности) најмање један родно одговоран циљ и одговарајући показатељи/индикатори </w:t>
      </w:r>
      <w:r>
        <w:rPr>
          <w:rFonts w:ascii="Arial" w:hAnsi="Arial"/>
          <w:b w:val="false"/>
          <w:sz w:val="24"/>
          <w:szCs w:val="24"/>
        </w:rPr>
        <w:t xml:space="preserve">који адекватно мере допринос циља унапређењу равноправости између жена и мушкараца.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ascii="Arial" w:hAnsi="Arial"/>
          <w:b w:val="false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 xml:space="preserve">зрада </w:t>
      </w:r>
      <w:r>
        <w:rPr>
          <w:rFonts w:ascii="Arial" w:hAnsi="Arial"/>
          <w:b/>
          <w:sz w:val="24"/>
          <w:szCs w:val="24"/>
        </w:rPr>
        <w:t>грађанског буџета</w:t>
      </w:r>
      <w:r>
        <w:rPr>
          <w:rFonts w:ascii="Arial" w:hAnsi="Arial"/>
          <w:b w:val="false"/>
          <w:sz w:val="24"/>
          <w:szCs w:val="24"/>
        </w:rPr>
        <w:t>, као инструмента за повећање транспарентног исказивања на који начин и у које сврхе се користе јавна средства, представља својеврстан водич за грађане којима треба да се приближе надлежности и начин финансирања послова који се обављају у њиховим општинама и градовима. У циљу информисања и појашњења грађанима о начину трошења и за које сврхе се троше буџетска средства, потребно је да локална власт на једноставан и разумљив начин прикаже свој буџет грађанима са информацијама о буџетским приходима и примањима, расходима и издацима, изворима финансирања, буџетским корисницима и сл. и објави га на својој интернет страници</w:t>
      </w:r>
      <w:r>
        <w:rPr>
          <w:b w:val="false"/>
          <w:sz w:val="23"/>
        </w:rPr>
        <w:t xml:space="preserve">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6"/>
          <w:szCs w:val="26"/>
          <w:u w:val="single"/>
        </w:rPr>
      </w:pPr>
      <w:r>
        <w:rPr>
          <w:rFonts w:cs="Calibri" w:ascii="Calibri" w:hAnsi="Calibri" w:asciiTheme="minorHAnsi" w:cstheme="minorHAnsi" w:hAnsiTheme="minorHAnsi"/>
          <w:bCs/>
          <w:sz w:val="26"/>
          <w:szCs w:val="26"/>
          <w:u w:val="single"/>
        </w:rPr>
        <w:t xml:space="preserve">Основне економске претпоставке и смернице за припрему предлога финансијског плана буџетског корисника и одлуке о буџету локалне власти са средњорочним пројекцијама и инструкцијама у вези планирања прихода буџета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lang w:val="sr-RS"/>
        </w:rPr>
      </w:pPr>
      <w:r>
        <w:rPr>
          <w:rFonts w:cs="Calibri" w:cstheme="minorHAnsi" w:ascii="Calibri" w:hAnsi="Calibri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3"/>
          <w:szCs w:val="24"/>
          <w:lang w:val="sr-RS"/>
        </w:rPr>
        <w:t>М</w:t>
      </w:r>
      <w:r>
        <w:rPr>
          <w:sz w:val="23"/>
        </w:rPr>
        <w:t xml:space="preserve">акроекономска кретања у протеклом периоду под снажним су утицајем изласка из кризе изазване пандемијом и уласка у нову кризу услед конфликата у Украјини. Иако је у првој половини 2022. године остварен солидан раст БДП од скоро 4,0%, у овом периоду изостали су значајнији негативни ефекти геополитичких дешавања на динамику домаће привредне активности. 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3"/>
          <w:szCs w:val="24"/>
          <w:lang w:val="sr-RS"/>
        </w:rPr>
        <w:t>М</w:t>
      </w:r>
      <w:r>
        <w:rPr>
          <w:sz w:val="23"/>
        </w:rPr>
        <w:t xml:space="preserve">акроекономска кретања почетком 2023. године генерално су на нивоу пројектованих. Узимајући у обзир актуелне економске трендове и изгледе за међународно окружење Министарство финансија процењује да ће раст БДП у 2023. години износити 2,5%, док ће у 2024. години убрзати на 3,5%, што је непромењено у односу на претходна очекивања. Инфлација је у марту 2023. године међугодишње посматрано достигла врхунац и износила је 16,2%, тако да се од априла нашла на опадајућој путањи уз очекивани знатнији пад у другој половини текуће године. 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b/>
          <w:sz w:val="26"/>
          <w:szCs w:val="26"/>
          <w:lang w:val="sr-RS"/>
        </w:rPr>
      </w:pPr>
      <w:r>
        <w:rPr>
          <w:rFonts w:cs="Calibri" w:cstheme="minorHAnsi"/>
          <w:b/>
          <w:sz w:val="26"/>
          <w:szCs w:val="26"/>
          <w:lang w:val="sr-RS"/>
        </w:rPr>
        <w:t>Основне макроекономске претпоставке за 202</w:t>
      </w:r>
      <w:r>
        <w:rPr>
          <w:rFonts w:cs="Calibri" w:cstheme="minorHAnsi"/>
          <w:b/>
          <w:sz w:val="26"/>
          <w:szCs w:val="26"/>
          <w:lang w:val="sr-RS"/>
        </w:rPr>
        <w:t>4</w:t>
      </w:r>
      <w:r>
        <w:rPr>
          <w:rFonts w:cs="Calibri" w:cstheme="minorHAnsi"/>
          <w:b/>
          <w:sz w:val="26"/>
          <w:szCs w:val="26"/>
          <w:lang w:val="sr-RS"/>
        </w:rPr>
        <w:t>.годину</w:t>
      </w:r>
    </w:p>
    <w:tbl>
      <w:tblPr>
        <w:tblStyle w:val="TableGrid"/>
        <w:tblW w:w="93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5"/>
        <w:gridCol w:w="2728"/>
        <w:gridCol w:w="3117"/>
      </w:tblGrid>
      <w:tr>
        <w:trPr/>
        <w:tc>
          <w:tcPr>
            <w:tcW w:w="350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cstheme="minorHAnsi" w:ascii="Calibri" w:hAnsi="Calibri"/>
                <w:kern w:val="0"/>
                <w:lang w:val="sr-RS" w:eastAsia="en-US" w:bidi="ar-SA"/>
              </w:rPr>
            </w:r>
          </w:p>
        </w:tc>
        <w:tc>
          <w:tcPr>
            <w:tcW w:w="2728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202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3</w:t>
            </w:r>
          </w:p>
        </w:tc>
        <w:tc>
          <w:tcPr>
            <w:tcW w:w="3117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202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4</w:t>
            </w:r>
          </w:p>
        </w:tc>
      </w:tr>
      <w:tr>
        <w:trPr/>
        <w:tc>
          <w:tcPr>
            <w:tcW w:w="350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БДП, млрд РСД</w:t>
            </w:r>
          </w:p>
        </w:tc>
        <w:tc>
          <w:tcPr>
            <w:tcW w:w="2728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8103.50</w:t>
            </w:r>
          </w:p>
        </w:tc>
        <w:tc>
          <w:tcPr>
            <w:tcW w:w="3117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8773.60</w:t>
            </w:r>
          </w:p>
        </w:tc>
      </w:tr>
      <w:tr>
        <w:trPr/>
        <w:tc>
          <w:tcPr>
            <w:tcW w:w="350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Стопаноминалног раста БДП,%</w:t>
            </w:r>
          </w:p>
        </w:tc>
        <w:tc>
          <w:tcPr>
            <w:tcW w:w="2728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1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4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3</w:t>
            </w:r>
          </w:p>
        </w:tc>
        <w:tc>
          <w:tcPr>
            <w:tcW w:w="3117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8,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3</w:t>
            </w:r>
          </w:p>
        </w:tc>
      </w:tr>
      <w:tr>
        <w:trPr/>
        <w:tc>
          <w:tcPr>
            <w:tcW w:w="350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Стопе реалног раста БДП,%</w:t>
            </w:r>
          </w:p>
        </w:tc>
        <w:tc>
          <w:tcPr>
            <w:tcW w:w="2728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2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,5</w:t>
            </w:r>
          </w:p>
        </w:tc>
        <w:tc>
          <w:tcPr>
            <w:tcW w:w="3117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3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5</w:t>
            </w:r>
          </w:p>
        </w:tc>
      </w:tr>
      <w:tr>
        <w:trPr/>
        <w:tc>
          <w:tcPr>
            <w:tcW w:w="3505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Потрошачке цене (годишњи просек),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%</w:t>
            </w:r>
          </w:p>
        </w:tc>
        <w:tc>
          <w:tcPr>
            <w:tcW w:w="2728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12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5</w:t>
            </w:r>
          </w:p>
        </w:tc>
        <w:tc>
          <w:tcPr>
            <w:tcW w:w="3117" w:type="dxa"/>
            <w:tcBorders/>
          </w:tcPr>
          <w:p>
            <w:pPr>
              <w:pStyle w:val="Default"/>
              <w:widowControl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4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lang w:val="sr-RS" w:eastAsia="en-US" w:bidi="ar-SA"/>
              </w:rPr>
              <w:t>9</w:t>
            </w:r>
          </w:p>
        </w:tc>
      </w:tr>
    </w:tbl>
    <w:p>
      <w:pPr>
        <w:pStyle w:val="Default"/>
        <w:jc w:val="both"/>
        <w:rPr>
          <w:rFonts w:ascii="Calibri" w:hAnsi="Calibri" w:cs="Calibri" w:asciiTheme="minorHAnsi" w:cstheme="minorHAnsi" w:hAnsiTheme="minorHAnsi"/>
          <w:lang w:val="sr-RS"/>
        </w:rPr>
      </w:pPr>
      <w:r>
        <w:rPr>
          <w:rFonts w:cs="Calibri" w:cstheme="minorHAnsi" w:ascii="Calibri" w:hAnsi="Calibri"/>
          <w:lang w:val="sr-RS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lang w:val="sr-RS"/>
        </w:rPr>
      </w:pPr>
      <w:r>
        <w:rPr>
          <w:rFonts w:cs="Calibri" w:cstheme="minorHAnsi" w:ascii="Calibri" w:hAnsi="Calibri"/>
          <w:lang w:val="sr-RS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6"/>
          <w:szCs w:val="26"/>
          <w:lang w:val="sr-RS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lang w:val="sr-RS"/>
        </w:rPr>
        <w:t>ПРОЦЕНА ПРИХОДА И ПРИМАЊА, РАСХОДА И ИЗДАТАКА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sr-RS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sr-RS"/>
        </w:rPr>
      </w:pPr>
      <w:r>
        <w:rPr>
          <w:rFonts w:cs="Calibri" w:cstheme="minorHAnsi"/>
          <w:strike w:val="false"/>
          <w:dstrike w:val="false"/>
          <w:sz w:val="23"/>
          <w:u w:val="none"/>
          <w:lang w:val="sr-RS"/>
        </w:rPr>
        <w:t xml:space="preserve">Приликом планирања прихода локална власт је у обавези да исте реално планира, тј. потребно је поћи од остварења прихода за три квартала у 2023. години и њихове процене за задњи квартал те године, што представља основ за њихово увећање, при чему укупан раст прихода не сме да буде већи од номиналног раста БДП </w:t>
      </w:r>
      <w:r>
        <w:rPr>
          <w:rFonts w:cs="Calibri" w:cstheme="minorHAnsi"/>
          <w:b/>
          <w:strike w:val="false"/>
          <w:dstrike w:val="false"/>
          <w:sz w:val="23"/>
          <w:u w:val="none"/>
          <w:lang w:val="sr-RS"/>
        </w:rPr>
        <w:t>(пројектован номинални раст у 2024. години од 8,3%)</w:t>
      </w:r>
      <w:r>
        <w:rPr>
          <w:rFonts w:cs="Calibri" w:cstheme="minorHAnsi"/>
          <w:b w:val="false"/>
          <w:strike w:val="false"/>
          <w:dstrike w:val="false"/>
          <w:sz w:val="23"/>
          <w:u w:val="none"/>
          <w:lang w:val="sr-RS"/>
        </w:rPr>
        <w:t xml:space="preserve">. Изузетно, локална власт може планирати већи обим прихода, с тим што је у том случају дужна да у образложењу одлуке о буџету наведе разлоге за такво поступање, као и да образложи параметре (кретање запослености, просечне зараде, очекиване инвестиционе активности, промене у степену наплате пореза на имовину итд.) коришћене за пројекцију таквих прихода.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lang w:val="sr-RS"/>
        </w:rPr>
      </w:pPr>
      <w:r>
        <w:rPr>
          <w:rFonts w:cs="Calibri" w:cstheme="minorHAnsi"/>
          <w:sz w:val="23"/>
          <w:lang w:val="sr-RS"/>
        </w:rPr>
        <w:t>Н</w:t>
      </w:r>
      <w:r>
        <w:rPr>
          <w:sz w:val="23"/>
        </w:rPr>
        <w:t xml:space="preserve">енаменске трансфере јединице локалне самоуправе треба да планирају у истом износу који је био опредељен Законом о буџету Републике Србије за 2023. годину („Службени гласник РС”, број 138/22). 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Полазна основа за планирање обима буџета за 202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sz w:val="24"/>
          <w:szCs w:val="24"/>
          <w:lang w:val="sr-RS"/>
        </w:rPr>
        <w:t>годину</w:t>
      </w:r>
      <w:r>
        <w:rPr>
          <w:rFonts w:cs="Calibri" w:cstheme="minorHAnsi"/>
          <w:sz w:val="24"/>
          <w:szCs w:val="24"/>
        </w:rPr>
        <w:t xml:space="preserve"> су планирани приходи и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 xml:space="preserve">примања из Одлуке о буџету </w:t>
      </w:r>
      <w:r>
        <w:rPr>
          <w:rFonts w:cs="Calibri" w:cstheme="minorHAnsi"/>
          <w:sz w:val="24"/>
          <w:szCs w:val="24"/>
          <w:lang w:val="sr-RS"/>
        </w:rPr>
        <w:t>општине Палилула</w:t>
      </w:r>
      <w:r>
        <w:rPr>
          <w:rFonts w:cs="Calibri" w:cstheme="minorHAnsi"/>
          <w:sz w:val="24"/>
          <w:szCs w:val="24"/>
        </w:rPr>
        <w:t xml:space="preserve"> за 202</w:t>
      </w:r>
      <w:r>
        <w:rPr>
          <w:rFonts w:cs="Calibri" w:cstheme="minorHAnsi"/>
          <w:sz w:val="24"/>
          <w:szCs w:val="24"/>
          <w:lang w:val="sr-RS"/>
        </w:rPr>
        <w:t>3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sz w:val="24"/>
          <w:szCs w:val="24"/>
          <w:lang w:val="sr-RS"/>
        </w:rPr>
        <w:t>годину</w:t>
      </w:r>
      <w:r>
        <w:rPr>
          <w:rFonts w:cs="Calibri" w:cstheme="minorHAnsi"/>
          <w:sz w:val="24"/>
          <w:szCs w:val="24"/>
        </w:rPr>
        <w:t>, као и планирани расходи и издаци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 xml:space="preserve">из те Одлуке, затим узето је у обзир </w:t>
      </w:r>
      <w:r>
        <w:rPr>
          <w:rFonts w:cs="Calibri" w:cstheme="minorHAnsi"/>
          <w:sz w:val="24"/>
          <w:szCs w:val="24"/>
          <w:lang w:val="sr-RS"/>
        </w:rPr>
        <w:t>и остварење прихода за период од 01.01.202</w:t>
      </w:r>
      <w:r>
        <w:rPr>
          <w:rFonts w:cs="Calibri" w:cstheme="minorHAnsi"/>
          <w:sz w:val="24"/>
          <w:szCs w:val="24"/>
          <w:lang w:val="sr-RS"/>
        </w:rPr>
        <w:t>3</w:t>
      </w:r>
      <w:r>
        <w:rPr>
          <w:rFonts w:cs="Calibri" w:cstheme="minorHAnsi"/>
          <w:sz w:val="24"/>
          <w:szCs w:val="24"/>
          <w:lang w:val="sr-RS"/>
        </w:rPr>
        <w:t>. до 30.06.202</w:t>
      </w:r>
      <w:r>
        <w:rPr>
          <w:rFonts w:cs="Calibri" w:cstheme="minorHAnsi"/>
          <w:sz w:val="24"/>
          <w:szCs w:val="24"/>
          <w:lang w:val="sr-RS"/>
        </w:rPr>
        <w:t>3</w:t>
      </w:r>
      <w:r>
        <w:rPr>
          <w:rFonts w:cs="Calibri" w:cstheme="minorHAnsi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Основ политике планирања прихода и расхода мора бити у складу са реалним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 xml:space="preserve">пројекцијама буџета </w:t>
      </w:r>
      <w:r>
        <w:rPr>
          <w:rFonts w:cs="Calibri" w:cstheme="minorHAnsi"/>
          <w:sz w:val="24"/>
          <w:szCs w:val="24"/>
          <w:lang w:val="sr-RS"/>
        </w:rPr>
        <w:t xml:space="preserve">општине Палилула </w:t>
      </w:r>
      <w:r>
        <w:rPr>
          <w:rFonts w:cs="Calibri" w:cstheme="minorHAnsi"/>
          <w:sz w:val="24"/>
          <w:szCs w:val="24"/>
        </w:rPr>
        <w:t>за 202</w:t>
      </w:r>
      <w:r>
        <w:rPr>
          <w:rFonts w:cs="Calibri" w:cstheme="minorHAnsi"/>
          <w:sz w:val="24"/>
          <w:szCs w:val="24"/>
          <w:lang w:val="sr-RS"/>
        </w:rPr>
        <w:t>3</w:t>
      </w:r>
      <w:r>
        <w:rPr>
          <w:rFonts w:cs="Calibri" w:cstheme="minorHAnsi"/>
          <w:sz w:val="24"/>
          <w:szCs w:val="24"/>
        </w:rPr>
        <w:t xml:space="preserve">. </w:t>
      </w:r>
      <w:r>
        <w:rPr>
          <w:rFonts w:cs="Calibri" w:cstheme="minorHAnsi"/>
          <w:sz w:val="24"/>
          <w:szCs w:val="24"/>
          <w:lang w:val="sr-RS"/>
        </w:rPr>
        <w:t>годину</w:t>
      </w:r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2268"/>
        <w:gridCol w:w="1759"/>
        <w:gridCol w:w="1545"/>
        <w:gridCol w:w="1634"/>
        <w:gridCol w:w="1727"/>
      </w:tblGrid>
      <w:tr>
        <w:trPr>
          <w:trHeight w:val="395" w:hRule="atLeast"/>
        </w:trPr>
        <w:tc>
          <w:tcPr>
            <w:tcW w:w="57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Ек.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Кл.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ОПИС</w:t>
            </w:r>
          </w:p>
        </w:tc>
        <w:tc>
          <w:tcPr>
            <w:tcW w:w="175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Буџет 202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Реализација</w:t>
            </w:r>
          </w:p>
        </w:tc>
        <w:tc>
          <w:tcPr>
            <w:tcW w:w="336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Пројекција</w:t>
            </w:r>
          </w:p>
        </w:tc>
      </w:tr>
      <w:tr>
        <w:trPr>
          <w:trHeight w:val="377" w:hRule="atLeast"/>
        </w:trPr>
        <w:tc>
          <w:tcPr>
            <w:tcW w:w="57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5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јан-јун 202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4</w:t>
            </w:r>
          </w:p>
        </w:tc>
        <w:tc>
          <w:tcPr>
            <w:tcW w:w="1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711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Порези на доходак, добит и капиталне добитке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78,955,000.00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32,444,870.73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73,000,000.00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72,000,000.00</w:t>
            </w:r>
          </w:p>
        </w:tc>
      </w:tr>
      <w:tr>
        <w:trPr>
          <w:trHeight w:val="485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713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Порез на имовину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33,000,000.00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13,222,537.81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31,000,000.00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30,000,000.00</w:t>
            </w:r>
          </w:p>
        </w:tc>
      </w:tr>
      <w:tr>
        <w:trPr>
          <w:trHeight w:val="575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714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Порези на добра и услуге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12,500,000.00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4,194,451.56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10,000,000.00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10,000,000.00</w:t>
            </w:r>
          </w:p>
        </w:tc>
      </w:tr>
      <w:tr>
        <w:trPr>
          <w:trHeight w:val="557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733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Трансфери од других нивоа власти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52,000,000.00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28,999,998.00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52,000,000.00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52,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000,000.00</w:t>
            </w:r>
          </w:p>
        </w:tc>
      </w:tr>
      <w:tr>
        <w:trPr>
          <w:trHeight w:val="485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741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Приходи од имовине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32,000.00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0.00</w:t>
            </w:r>
          </w:p>
        </w:tc>
      </w:tr>
      <w:tr>
        <w:trPr>
          <w:trHeight w:val="530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742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Приходи од продаје добара и услуга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30,200.00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50,000.00</w:t>
            </w:r>
          </w:p>
        </w:tc>
      </w:tr>
      <w:tr>
        <w:trPr>
          <w:trHeight w:val="467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743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Новчане казне и одузета имовинска корист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1,509,354.00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85,000.00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500,000.00</w:t>
            </w:r>
          </w:p>
        </w:tc>
      </w:tr>
      <w:tr>
        <w:trPr>
          <w:trHeight w:val="503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744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Добровољни трансфери од физичких и правних лица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5,000.00</w:t>
            </w:r>
          </w:p>
        </w:tc>
      </w:tr>
      <w:tr>
        <w:trPr>
          <w:trHeight w:val="530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745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Мешовити и неодређени приходи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5,000.00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164,979.46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300,000.00</w:t>
            </w:r>
          </w:p>
        </w:tc>
      </w:tr>
      <w:tr>
        <w:trPr/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772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Меморандумске ставке за рефундацију расхода из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претходне године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100,000.00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0.00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100,000.00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100,000.00</w:t>
            </w:r>
          </w:p>
        </w:tc>
      </w:tr>
      <w:tr>
        <w:trPr/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УКУПНИ ПРИХОДИ </w:t>
            </w:r>
          </w:p>
        </w:tc>
        <w:tc>
          <w:tcPr>
            <w:tcW w:w="17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178,207,354.00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79,142,027.56</w:t>
            </w:r>
          </w:p>
        </w:tc>
        <w:tc>
          <w:tcPr>
            <w:tcW w:w="16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166,855,000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164,955,000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FF0000"/>
          <w:sz w:val="24"/>
          <w:szCs w:val="24"/>
          <w:lang w:val="sr-RS"/>
        </w:rPr>
      </w:pPr>
      <w:r>
        <w:rPr>
          <w:rFonts w:cs="Calibri" w:cstheme="minorHAnsi"/>
          <w:color w:val="FF000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 w:themeColor="text1"/>
          <w:sz w:val="24"/>
          <w:szCs w:val="24"/>
          <w:lang w:val="sr-RS"/>
        </w:rPr>
      </w:pP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На основу шестомесечне реализације плана прихода видимо да су приходи реализовани у висини од </w:t>
      </w:r>
      <w:r>
        <w:rPr>
          <w:rFonts w:cs="Calibri" w:cstheme="minorHAnsi"/>
          <w:color w:val="000000" w:themeColor="text1"/>
          <w:sz w:val="24"/>
          <w:szCs w:val="24"/>
        </w:rPr>
        <w:t>4</w:t>
      </w:r>
      <w:r>
        <w:rPr>
          <w:rFonts w:cs="Calibri" w:cstheme="minorHAnsi"/>
          <w:color w:val="000000" w:themeColor="text1"/>
          <w:sz w:val="24"/>
          <w:szCs w:val="24"/>
        </w:rPr>
        <w:t>4.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>41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 % годишњег плана </w:t>
      </w:r>
      <w:r>
        <w:rPr>
          <w:rFonts w:cs="Calibri" w:cstheme="minorHAnsi"/>
          <w:color w:val="000000" w:themeColor="text1"/>
          <w:sz w:val="24"/>
          <w:szCs w:val="24"/>
        </w:rPr>
        <w:t>(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општина је приходовала 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>и 3,000,000.00 динара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 трансфера 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>за реконструкцију зграде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, тако да ако и ту чињеницу узмемо у обзир реализација прихода је 43,45%) односно 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>88.82</w:t>
      </w:r>
      <w:r>
        <w:rPr>
          <w:rFonts w:cs="Calibri" w:cstheme="minorHAnsi"/>
          <w:color w:val="000000" w:themeColor="text1"/>
          <w:sz w:val="24"/>
          <w:szCs w:val="24"/>
          <w:lang w:val="sr-RS"/>
        </w:rPr>
        <w:t xml:space="preserve"> % полугодишњег плана. Из тог разлога за наредну буџетску годину приходи морају бити планирани реално.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Расходи буџета општине Палилула у 202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  <w:lang w:val="sr-RS"/>
        </w:rPr>
        <w:t xml:space="preserve"> и нареде две  године извршавање се тако да се обезбеди нормално функционисање свих буџетских корисника али водећи рачуна о планираним лимитима за сваког корисника.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lang w:val="sr-RS"/>
        </w:rPr>
      </w:pPr>
      <w:r>
        <w:rPr>
          <w:rFonts w:cs="Calibri" w:cstheme="minorHAnsi"/>
          <w:b/>
          <w:lang w:val="sr-RS"/>
        </w:rPr>
        <w:t>Преглед лимита укупних расхода буџетских корисника за 2023,2024 и 2025.годину</w:t>
      </w:r>
    </w:p>
    <w:tbl>
      <w:tblPr>
        <w:tblStyle w:val="TableGrid"/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0"/>
        <w:gridCol w:w="1870"/>
        <w:gridCol w:w="1870"/>
        <w:gridCol w:w="1870"/>
        <w:gridCol w:w="1870"/>
      </w:tblGrid>
      <w:tr>
        <w:trPr>
          <w:trHeight w:val="485" w:hRule="atLeast"/>
        </w:trPr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Корисник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Буџет 202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Лимит 2023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Лимит 2024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Лимит 2025</w:t>
            </w:r>
          </w:p>
        </w:tc>
      </w:tr>
      <w:tr>
        <w:trPr/>
        <w:tc>
          <w:tcPr>
            <w:tcW w:w="1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Скупштина општине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27,564,625.00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29,000,000.00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32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,000,000.00</w:t>
            </w:r>
          </w:p>
        </w:tc>
      </w:tr>
      <w:tr>
        <w:trPr/>
        <w:tc>
          <w:tcPr>
            <w:tcW w:w="1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Председник општине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20,050,775.00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22,000,000.00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18,500,000.00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19,500,000.00</w:t>
            </w:r>
          </w:p>
        </w:tc>
      </w:tr>
      <w:tr>
        <w:trPr/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Општинско веће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12,989,600.00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14,000,000.00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12,000,000.00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13,500,000.00</w:t>
            </w:r>
          </w:p>
        </w:tc>
      </w:tr>
      <w:tr>
        <w:trPr/>
        <w:tc>
          <w:tcPr>
            <w:tcW w:w="1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Општинска управа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124,323,000.00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105,000,000.00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115,000,000.00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117,000,000.00</w:t>
            </w:r>
          </w:p>
        </w:tc>
      </w:tr>
      <w:tr>
        <w:trPr/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УКУПНО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184,928,000.00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170,000,000.00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173,500,000.00</w:t>
            </w:r>
          </w:p>
        </w:tc>
        <w:tc>
          <w:tcPr>
            <w:tcW w:w="1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182,000,000.00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  <w:t>Група конта 41 – Расходи за запослене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lang w:val="sr-RS"/>
        </w:rPr>
      </w:pPr>
      <w:r>
        <w:rPr>
          <w:rFonts w:cs="Calibri" w:cstheme="minorHAnsi"/>
        </w:rPr>
        <w:t>Средства за плате у лимитима задржана су на нивоу средстава планираних Законом о буџету Републике Србије за 202</w:t>
      </w:r>
      <w:r>
        <w:rPr>
          <w:rFonts w:cs="Calibri" w:cstheme="minorHAnsi"/>
          <w:lang w:val="sr-RS"/>
        </w:rPr>
        <w:t>3</w:t>
      </w:r>
      <w:r>
        <w:rPr>
          <w:rFonts w:cs="Calibri" w:cstheme="minorHAnsi"/>
        </w:rPr>
        <w:t>. годину, а евентуална корекција износа планираних за групу конта 41 извршиће се у току буџетске процедуре на основу ревидиране Фискалне стратегије, измена и допуна Закона о буџетском систему и процене потребних средстава за расходе за запослене за 202</w:t>
      </w:r>
      <w:r>
        <w:rPr>
          <w:rFonts w:cs="Calibri" w:cstheme="minorHAnsi"/>
          <w:lang w:val="sr-RS"/>
        </w:rPr>
        <w:t>4</w:t>
      </w:r>
      <w:r>
        <w:rPr>
          <w:rFonts w:cs="Calibri" w:cstheme="minorHAnsi"/>
        </w:rPr>
        <w:t xml:space="preserve">. </w:t>
      </w:r>
      <w:r>
        <w:rPr>
          <w:rFonts w:cs="Calibri" w:cstheme="minorHAnsi"/>
          <w:lang w:val="sr-RS"/>
        </w:rPr>
        <w:t xml:space="preserve">годину. </w:t>
      </w:r>
      <w:r>
        <w:rPr>
          <w:rFonts w:cs="Calibri" w:cstheme="minorHAnsi"/>
          <w:b/>
          <w:lang w:val="sr-RS"/>
        </w:rPr>
        <w:t>Средства за плате се планирају на бази броја запослених који раде, а не систематизованог броја запослених.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Као и у претходним годинама, и у буџетској 202</w:t>
      </w:r>
      <w:r>
        <w:rPr>
          <w:rFonts w:cs="Calibri" w:cstheme="minorHAnsi"/>
          <w:lang w:val="sr-RS"/>
        </w:rPr>
        <w:t>4</w:t>
      </w:r>
      <w:r>
        <w:rPr>
          <w:rFonts w:cs="Calibri" w:cstheme="minorHAnsi"/>
        </w:rPr>
        <w:t xml:space="preserve">. години, не треба планирати обрачун и исплату поклона у новцу, божићних, годишњих и других врста награда и бонуса и примања запослених ради побољшања материјалног положаја и побољшања услова рада предвиђених посебним и појединачним колективним уговорима, за директне и индиректне кориснике буџетских средстава буџета Републике Србије и локалне власти, као и друга примања из члана 120. </w:t>
      </w:r>
      <w:r>
        <w:rPr>
          <w:rFonts w:cs="Calibri" w:cstheme="minorHAnsi"/>
          <w:lang w:val="sr-RS"/>
        </w:rPr>
        <w:t xml:space="preserve">став </w:t>
      </w:r>
      <w:r>
        <w:rPr>
          <w:rFonts w:cs="Calibri" w:cstheme="minorHAnsi"/>
        </w:rPr>
        <w:t xml:space="preserve">1. </w:t>
      </w:r>
      <w:r>
        <w:rPr>
          <w:rFonts w:cs="Calibri" w:cstheme="minorHAnsi"/>
          <w:lang w:val="sr-RS"/>
        </w:rPr>
        <w:t>тачка</w:t>
      </w:r>
      <w:r>
        <w:rPr>
          <w:rFonts w:cs="Calibri" w:cstheme="minorHAnsi"/>
        </w:rPr>
        <w:t xml:space="preserve"> 4) Закона о раду ("Службени гласник РС", бр. 24/2005, 61/2005, 54/2009, 32/2013, 75/2014, 13/2017 (УС), 113/2017 и 95/2018 (аутентично тумачење)), осим јубиларних награда за запослене који су то право стекли у 202</w:t>
      </w:r>
      <w:r>
        <w:rPr>
          <w:rFonts w:cs="Calibri" w:cstheme="minorHAnsi"/>
          <w:lang w:val="sr-RS"/>
        </w:rPr>
        <w:t>4</w:t>
      </w:r>
      <w:r>
        <w:rPr>
          <w:rFonts w:cs="Calibri" w:cstheme="minorHAnsi"/>
        </w:rPr>
        <w:t xml:space="preserve">. </w:t>
      </w:r>
      <w:r>
        <w:rPr>
          <w:rFonts w:cs="Calibri" w:cstheme="minorHAnsi"/>
          <w:lang w:val="sr-RS"/>
        </w:rPr>
        <w:t>години</w:t>
      </w:r>
      <w:r>
        <w:rPr>
          <w:rFonts w:cs="Calibri" w:cstheme="minorHAnsi"/>
        </w:rPr>
        <w:t xml:space="preserve"> и новчаних честитки за децу запослених.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  <w:t xml:space="preserve">Група конта 42 – Коришћење услуга и роба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  <w:t>У оквиру групе конта која се односе на куповину роба и услуга, потребно је реално планирати средства за ове намене у 202</w:t>
      </w:r>
      <w:r>
        <w:rPr>
          <w:rFonts w:cs="Calibri" w:cstheme="minorHAnsi"/>
          <w:lang w:val="sr-RS"/>
        </w:rPr>
        <w:t>4</w:t>
      </w:r>
      <w:r>
        <w:rPr>
          <w:rFonts w:cs="Calibri" w:cstheme="minorHAnsi"/>
          <w:lang w:val="sr-RS"/>
        </w:rPr>
        <w:t>. години, водећи рачуна да се не угрози извршавање сталних трошкова (421 - Стални трошкови).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  <w:t>Препорука је да буџетски корисници у буџетској процедури преиспитају и могућност смањења других накнада за рад, које нису обухваћене законом (уговори о делу, уговори о привремено повременим пословима и др.).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  <w:t>Посебно је, приликом планирања ове групе конта, потребан крајње реалан приступ и са аспекта Закона о роковима измирења новчаних обавеза у комерцијалним трансакцијама ("Службени гласник РС", бр. 119/2012, 68/2015, 113/2017, 91/2019, 44/2021 и 44/2021 (др. закон)).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Група конта 48 - Остали расходи</w:t>
      </w:r>
    </w:p>
    <w:p>
      <w:pPr>
        <w:pStyle w:val="Normal"/>
        <w:spacing w:lineRule="auto" w:line="240" w:before="0" w:after="0"/>
        <w:jc w:val="both"/>
        <w:rPr>
          <w:rFonts w:ascii="CIDFont+F2" w:hAnsi="CIDFont+F2" w:cs="CIDFont+F2"/>
          <w:sz w:val="23"/>
          <w:szCs w:val="23"/>
        </w:rPr>
      </w:pPr>
      <w:r>
        <w:rPr>
          <w:rFonts w:cs="CIDFont+F2" w:ascii="CIDFont+F2" w:hAnsi="CIDFont+F2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Приликом планирања наведених расхода, треба имати у виду да се услед недовољног</w:t>
      </w:r>
      <w:r>
        <w:rPr>
          <w:rFonts w:cs="Calibri" w:cstheme="minorHAnsi"/>
          <w:lang w:val="sr-RS"/>
        </w:rPr>
        <w:t xml:space="preserve"> </w:t>
      </w:r>
      <w:r>
        <w:rPr>
          <w:rFonts w:cs="Calibri" w:cstheme="minorHAnsi"/>
        </w:rPr>
        <w:t>износа средстава на економској класификацији 483 - Новчане казне и пенали по решењу</w:t>
      </w:r>
      <w:r>
        <w:rPr>
          <w:rFonts w:cs="Calibri" w:cstheme="minorHAnsi"/>
          <w:lang w:val="sr-RS"/>
        </w:rPr>
        <w:t xml:space="preserve"> </w:t>
      </w:r>
      <w:r>
        <w:rPr>
          <w:rFonts w:cs="Calibri" w:cstheme="minorHAnsi"/>
        </w:rPr>
        <w:t>судова, иста повећава смањењем осталих економских класификација, на којима је, због</w:t>
      </w:r>
      <w:r>
        <w:rPr>
          <w:rFonts w:cs="Calibri" w:cstheme="minorHAnsi"/>
          <w:lang w:val="sr-RS"/>
        </w:rPr>
        <w:t xml:space="preserve"> </w:t>
      </w:r>
      <w:r>
        <w:rPr>
          <w:rFonts w:cs="Calibri" w:cstheme="minorHAnsi"/>
        </w:rPr>
        <w:t>наведеног, неопходно прилагодити преузимање обавеза, како би се на тај начин спречило</w:t>
      </w:r>
      <w:r>
        <w:rPr>
          <w:rFonts w:cs="Calibri" w:cstheme="minorHAnsi"/>
          <w:lang w:val="sr-RS"/>
        </w:rPr>
        <w:t xml:space="preserve"> </w:t>
      </w:r>
      <w:r>
        <w:rPr>
          <w:rFonts w:cs="Calibri" w:cstheme="minorHAnsi"/>
        </w:rPr>
        <w:t>стварање доцњи.</w:t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На основу ових пројекција потребно је почети са израдом предлога финансијс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ких </w:t>
      </w:r>
      <w:r>
        <w:rPr>
          <w:rFonts w:cs="Calibri Light" w:ascii="Calibri Light" w:hAnsi="Calibri Light" w:asciiTheme="majorHAnsi" w:cstheme="majorHAnsi" w:hAnsiTheme="majorHAnsi"/>
        </w:rPr>
        <w:t xml:space="preserve"> план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ова </w:t>
      </w:r>
      <w:r>
        <w:rPr>
          <w:rFonts w:cs="Calibri Light" w:ascii="Calibri Light" w:hAnsi="Calibri Light" w:asciiTheme="majorHAnsi" w:cstheme="majorHAnsi" w:hAnsiTheme="majorHAnsi"/>
        </w:rPr>
        <w:t>за 202</w:t>
      </w:r>
      <w:r>
        <w:rPr>
          <w:rFonts w:cs="Calibri Light" w:ascii="Calibri Light" w:hAnsi="Calibri Light" w:asciiTheme="majorHAnsi" w:cstheme="majorHAnsi" w:hAnsiTheme="majorHAnsi"/>
          <w:lang w:val="sr-RS"/>
        </w:rPr>
        <w:t>4</w:t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  <w:r>
        <w:rPr>
          <w:rFonts w:cs="Calibri Light" w:ascii="Calibri Light" w:hAnsi="Calibri Light" w:asciiTheme="majorHAnsi" w:cstheme="majorHAnsi" w:hAnsiTheme="majorHAnsi"/>
          <w:lang w:val="sr-RS"/>
        </w:rPr>
        <w:t>годину</w:t>
      </w:r>
      <w:r>
        <w:rPr>
          <w:rFonts w:cs="Calibri Light" w:ascii="Calibri Light" w:hAnsi="Calibri Light" w:asciiTheme="majorHAnsi" w:cstheme="majorHAnsi" w:hAnsiTheme="majorHAnsi"/>
        </w:rPr>
        <w:t xml:space="preserve"> и наредне две фискалне године. Предлог</w:t>
      </w:r>
      <w:r>
        <w:rPr>
          <w:rFonts w:cs="Calibri Light" w:ascii="Calibri Light" w:hAnsi="Calibri Light" w:asciiTheme="majorHAnsi" w:cstheme="majorHAnsi" w:hAnsiTheme="majorHAnsi"/>
          <w:lang w:val="sr-RS"/>
        </w:rPr>
        <w:t>е</w:t>
      </w:r>
      <w:r>
        <w:rPr>
          <w:rFonts w:cs="Calibri Light" w:ascii="Calibri Light" w:hAnsi="Calibri Light" w:asciiTheme="majorHAnsi" w:cstheme="majorHAnsi" w:hAnsiTheme="majorHAnsi"/>
        </w:rPr>
        <w:t xml:space="preserve"> финансијск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их </w:t>
      </w:r>
      <w:r>
        <w:rPr>
          <w:rFonts w:cs="Calibri Light" w:ascii="Calibri Light" w:hAnsi="Calibri Light" w:asciiTheme="majorHAnsi" w:cstheme="majorHAnsi" w:hAnsiTheme="majorHAnsi"/>
        </w:rPr>
        <w:t xml:space="preserve"> план</w:t>
      </w:r>
      <w:r>
        <w:rPr>
          <w:rFonts w:cs="Calibri Light" w:ascii="Calibri Light" w:hAnsi="Calibri Light" w:asciiTheme="majorHAnsi" w:cstheme="majorHAnsi" w:hAnsiTheme="majorHAnsi"/>
          <w:lang w:val="sr-RS"/>
        </w:rPr>
        <w:t>ова</w:t>
      </w:r>
      <w:r>
        <w:rPr>
          <w:rFonts w:cs="Calibri Light" w:ascii="Calibri Light" w:hAnsi="Calibri Light" w:asciiTheme="majorHAnsi" w:cstheme="majorHAnsi" w:hAnsiTheme="majorHAnsi"/>
        </w:rPr>
        <w:t xml:space="preserve"> са попуњеним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табелама, потребно је доставити Одсеку за финансије најкасније до 01. Септембра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202</w:t>
      </w:r>
      <w:r>
        <w:rPr>
          <w:rFonts w:cs="Calibri Light" w:ascii="Calibri Light" w:hAnsi="Calibri Light" w:asciiTheme="majorHAnsi" w:cstheme="majorHAnsi" w:hAnsiTheme="majorHAnsi"/>
          <w:lang w:val="sr-RS"/>
        </w:rPr>
        <w:t>3</w:t>
      </w:r>
      <w:r>
        <w:rPr>
          <w:rFonts w:cs="Calibri Light" w:ascii="Calibri Light" w:hAnsi="Calibri Light" w:asciiTheme="majorHAnsi" w:cstheme="majorHAnsi" w:hAnsiTheme="majorHAnsi"/>
        </w:rPr>
        <w:t xml:space="preserve">. </w:t>
      </w:r>
      <w:r>
        <w:rPr>
          <w:rFonts w:cs="Calibri Light" w:ascii="Calibri Light" w:hAnsi="Calibri Light" w:asciiTheme="majorHAnsi" w:cstheme="majorHAnsi" w:hAnsiTheme="majorHAnsi"/>
          <w:lang w:val="sr-RS"/>
        </w:rPr>
        <w:t>године</w:t>
      </w:r>
      <w:r>
        <w:rPr>
          <w:rFonts w:cs="Calibri Light" w:ascii="Calibri Light" w:hAnsi="Calibri Light" w:asciiTheme="majorHAnsi" w:cstheme="majorHAnsi" w:hAnsiTheme="majorHAnsi"/>
        </w:rPr>
        <w:t xml:space="preserve"> у писаном облику, са детаљним образложењем за сваки износ који се налази у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финансијском плану - у супротном захтеви неће бити разматрани. Предлог треба доставити у</w:t>
      </w:r>
      <w:r>
        <w:rPr>
          <w:rFonts w:cs="Calibri Light" w:ascii="Calibri Light" w:hAnsi="Calibri Light" w:asciiTheme="majorHAnsi" w:cstheme="majorHAnsi" w:hAnsiTheme="majorHAnsi"/>
          <w:lang w:val="sr-RS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табелама за припрему буџета по Програмској класификацији.</w:t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  <w:lang w:val="sr-RS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ab/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lang w:val="sr-RS"/>
        </w:rPr>
        <w:t>Одсек за финансије</w:t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  <w:lang w:val="sr-RS"/>
        </w:rPr>
      </w:pPr>
      <w:r>
        <w:rPr>
          <w:rFonts w:cs="Calibri Light" w:ascii="Calibri Light" w:hAnsi="Calibri Light" w:asciiTheme="majorHAnsi" w:cstheme="majorHAnsi" w:hAnsiTheme="majorHAnsi"/>
          <w:lang w:val="sr-RS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  <w:lang w:val="sr-RS"/>
        </w:rPr>
      </w:pPr>
      <w:r>
        <w:rPr>
          <w:rFonts w:cs="Calibri Light" w:ascii="Calibri Light" w:hAnsi="Calibri Light" w:asciiTheme="majorHAnsi" w:cstheme="majorHAnsi" w:hAnsiTheme="majorHAnsi"/>
          <w:lang w:val="sr-RS"/>
        </w:rPr>
        <w:tab/>
        <w:tab/>
        <w:tab/>
        <w:tab/>
        <w:tab/>
        <w:tab/>
        <w:tab/>
        <w:t xml:space="preserve">                   Иван Драгишић</w:t>
      </w:r>
    </w:p>
    <w:p>
      <w:pPr>
        <w:pStyle w:val="Normal"/>
        <w:spacing w:lineRule="auto" w:line="240" w:before="0" w:after="0"/>
        <w:ind w:firstLine="720"/>
        <w:jc w:val="both"/>
        <w:rPr>
          <w:rFonts w:ascii="Calibri Light" w:hAnsi="Calibri Light" w:cs="Calibri Light" w:asciiTheme="majorHAnsi" w:cstheme="majorHAnsi" w:hAnsiTheme="majorHAnsi"/>
          <w:lang w:val="sr-RS"/>
        </w:rPr>
      </w:pPr>
      <w:r>
        <w:rPr>
          <w:rFonts w:cs="Calibri Light" w:ascii="Calibri Light" w:hAnsi="Calibri Light" w:asciiTheme="majorHAnsi" w:cstheme="majorHAnsi" w:hAnsiTheme="majorHAnsi"/>
          <w:lang w:val="sr-RS"/>
        </w:rPr>
        <w:tab/>
        <w:tab/>
        <w:tab/>
        <w:tab/>
        <w:tab/>
        <w:tab/>
        <w:tab/>
        <w:tab/>
        <w:t xml:space="preserve">        Шеф одсека</w:t>
      </w:r>
    </w:p>
    <w:sectPr>
      <w:type w:val="nextPage"/>
      <w:pgSz w:w="12240" w:h="15840"/>
      <w:pgMar w:left="1440" w:right="1440" w:gutter="0" w:header="0" w:top="1260" w:footer="0" w:bottom="8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IDFont+F4">
    <w:charset w:val="00"/>
    <w:family w:val="roman"/>
    <w:pitch w:val="variable"/>
  </w:font>
  <w:font w:name="Arial">
    <w:charset w:val="01"/>
    <w:family w:val="swiss"/>
    <w:pitch w:val="variable"/>
  </w:font>
  <w:font w:name="CIDFont+F2"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66bf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b53c3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31b1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31b1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53c3"/>
    <w:pPr>
      <w:spacing w:lineRule="auto" w:line="240" w:before="0" w:after="0"/>
      <w:ind w:left="720" w:hanging="0"/>
    </w:pPr>
    <w:rPr>
      <w:rFonts w:ascii="Calibri" w:hAnsi="Calibri" w:cs="Calib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31b1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31b1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22c6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n-US" w:eastAsia="en-US" w:bidi="ar-SA"/>
    </w:rPr>
  </w:style>
  <w:style w:type="paragraph" w:styleId="Bodytext" w:customStyle="1">
    <w:name w:val="bodytext"/>
    <w:basedOn w:val="Normal"/>
    <w:qFormat/>
    <w:rsid w:val="00ff6e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13b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fin.gov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LibreOffice/7.5.0.3$Windows_X86_64 LibreOffice_project/c21113d003cd3efa8c53188764377a8272d9d6de</Application>
  <AppVersion>15.0000</AppVersion>
  <Pages>5</Pages>
  <Words>1462</Words>
  <Characters>8782</Characters>
  <CharactersWithSpaces>10169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2023-07-05T09:13:00Z</dcterms:created>
  <dc:creator>Vanja Ruzic</dc:creator>
  <dc:description/>
  <dc:language>en-US</dc:language>
  <cp:lastModifiedBy/>
  <cp:lastPrinted>2021-06-08T10:38:00Z</cp:lastPrinted>
  <dcterms:modified xsi:type="dcterms:W3CDTF">2023-07-17T09:23:45Z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